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622E3" w14:textId="784ACF19" w:rsidR="00731298" w:rsidRPr="00945791" w:rsidRDefault="00731298" w:rsidP="00731298">
      <w:pPr>
        <w:tabs>
          <w:tab w:val="right" w:pos="9639"/>
        </w:tabs>
        <w:spacing w:after="0" w:line="260" w:lineRule="auto"/>
        <w:jc w:val="both"/>
        <w:rPr>
          <w:rFonts w:ascii="Arial" w:eastAsia="Yu Mincho" w:hAnsi="Arial"/>
          <w:b/>
          <w:sz w:val="24"/>
          <w:lang w:eastAsia="zh-CN"/>
        </w:rPr>
      </w:pPr>
      <w:r w:rsidRPr="00EF7D9A">
        <w:rPr>
          <w:rFonts w:ascii="Arial" w:eastAsia="SimSun" w:hAnsi="Arial"/>
          <w:b/>
          <w:sz w:val="24"/>
        </w:rPr>
        <w:t>3GPP T</w:t>
      </w:r>
      <w:bookmarkStart w:id="0" w:name="_Ref452454252"/>
      <w:bookmarkEnd w:id="0"/>
      <w:r w:rsidRPr="00EF7D9A">
        <w:rPr>
          <w:rFonts w:ascii="Arial" w:eastAsia="SimSun" w:hAnsi="Arial"/>
          <w:b/>
          <w:sz w:val="24"/>
        </w:rPr>
        <w:t>SG-RAN WG2 Meeting #1</w:t>
      </w:r>
      <w:r w:rsidR="00945791">
        <w:rPr>
          <w:rFonts w:ascii="Arial" w:eastAsia="SimSun" w:hAnsi="Arial"/>
          <w:b/>
          <w:sz w:val="24"/>
        </w:rPr>
        <w:t>22</w:t>
      </w:r>
      <w:r w:rsidRPr="00EF7D9A">
        <w:rPr>
          <w:rFonts w:ascii="Arial" w:eastAsia="SimSun" w:hAnsi="Arial"/>
          <w:b/>
          <w:sz w:val="24"/>
        </w:rPr>
        <w:tab/>
      </w:r>
      <w:r w:rsidRPr="00EF7D9A">
        <w:rPr>
          <w:rFonts w:ascii="Arial" w:eastAsia="SimSun" w:hAnsi="Arial" w:hint="eastAsia"/>
          <w:b/>
          <w:sz w:val="24"/>
        </w:rPr>
        <w:t>R2-2</w:t>
      </w:r>
      <w:r w:rsidR="00EC4792">
        <w:rPr>
          <w:rFonts w:ascii="Arial" w:eastAsia="SimSun" w:hAnsi="Arial"/>
          <w:b/>
          <w:sz w:val="24"/>
        </w:rPr>
        <w:t>3</w:t>
      </w:r>
      <w:r w:rsidR="009D4FC5">
        <w:rPr>
          <w:rFonts w:ascii="Arial" w:eastAsia="SimSun" w:hAnsi="Arial"/>
          <w:b/>
          <w:sz w:val="24"/>
        </w:rPr>
        <w:t>06227</w:t>
      </w:r>
      <w:bookmarkStart w:id="1" w:name="_GoBack"/>
      <w:bookmarkEnd w:id="1"/>
    </w:p>
    <w:p w14:paraId="59EC2A40" w14:textId="36CC34AE" w:rsidR="00731298" w:rsidRPr="005121AE" w:rsidRDefault="00945791" w:rsidP="00731298">
      <w:pPr>
        <w:spacing w:after="120" w:line="260" w:lineRule="auto"/>
        <w:jc w:val="both"/>
        <w:outlineLvl w:val="0"/>
        <w:rPr>
          <w:rFonts w:ascii="Arial" w:eastAsia="SimSun" w:hAnsi="Arial"/>
          <w:b/>
          <w:szCs w:val="24"/>
          <w:lang w:eastAsia="zh-CN"/>
        </w:rPr>
      </w:pPr>
      <w:r>
        <w:rPr>
          <w:rFonts w:ascii="Arial" w:eastAsia="SimSun" w:hAnsi="Arial"/>
          <w:b/>
          <w:sz w:val="24"/>
          <w:szCs w:val="24"/>
          <w:lang w:eastAsia="zh-CN"/>
        </w:rPr>
        <w:t>Incheon, Korea, May 22</w:t>
      </w:r>
      <w:r w:rsidRPr="00945791">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sidRPr="00945791">
        <w:rPr>
          <w:rFonts w:ascii="Arial" w:eastAsia="SimSun" w:hAnsi="Arial"/>
          <w:b/>
          <w:sz w:val="24"/>
          <w:szCs w:val="24"/>
          <w:lang w:eastAsia="zh-CN"/>
        </w:rPr>
        <w:t>– 26</w:t>
      </w:r>
      <w:r w:rsidRPr="00945791">
        <w:rPr>
          <w:rFonts w:ascii="Arial" w:eastAsia="SimSun" w:hAnsi="Arial"/>
          <w:b/>
          <w:sz w:val="24"/>
          <w:szCs w:val="24"/>
          <w:vertAlign w:val="superscript"/>
          <w:lang w:eastAsia="zh-CN"/>
        </w:rPr>
        <w:t>th</w:t>
      </w:r>
      <w:r w:rsidRPr="00945791">
        <w:rPr>
          <w:rFonts w:ascii="Arial" w:eastAsia="SimSun" w:hAnsi="Arial"/>
          <w:b/>
          <w:sz w:val="24"/>
          <w:szCs w:val="24"/>
          <w:lang w:eastAsia="zh-CN"/>
        </w:rPr>
        <w:t>, 2023</w:t>
      </w:r>
      <w:r w:rsidR="00731298">
        <w:rPr>
          <w:rFonts w:ascii="Arial" w:eastAsia="SimSun" w:hAnsi="Arial"/>
          <w:b/>
          <w:sz w:val="24"/>
        </w:rPr>
        <w:tab/>
      </w:r>
      <w:r>
        <w:rPr>
          <w:rFonts w:ascii="Arial" w:eastAsia="SimSun" w:hAnsi="Arial"/>
          <w:b/>
          <w:sz w:val="24"/>
        </w:rPr>
        <w:tab/>
      </w:r>
      <w:r>
        <w:rPr>
          <w:rFonts w:ascii="Arial" w:eastAsia="SimSun" w:hAnsi="Arial"/>
          <w:b/>
          <w:sz w:val="24"/>
        </w:rPr>
        <w:tab/>
      </w:r>
      <w:r w:rsidR="00731298">
        <w:rPr>
          <w:rFonts w:ascii="Arial" w:eastAsia="SimSun" w:hAnsi="Arial"/>
          <w:b/>
          <w:sz w:val="24"/>
        </w:rPr>
        <w:t xml:space="preserve">   </w:t>
      </w:r>
      <w:r>
        <w:rPr>
          <w:rFonts w:ascii="Arial" w:eastAsia="SimSun" w:hAnsi="Arial"/>
          <w:b/>
          <w:sz w:val="24"/>
        </w:rPr>
        <w:tab/>
      </w:r>
      <w:r w:rsidR="00EC4792">
        <w:rPr>
          <w:rFonts w:ascii="Arial" w:eastAsia="SimSun" w:hAnsi="Arial"/>
          <w:i/>
          <w:sz w:val="22"/>
        </w:rPr>
        <w:t>Revision of R2-2303066</w:t>
      </w:r>
    </w:p>
    <w:p w14:paraId="2ADDDDDF" w14:textId="1D4806F6" w:rsidR="00082509" w:rsidRDefault="00082509" w:rsidP="00731298">
      <w:pPr>
        <w:pStyle w:val="CRCoverPage"/>
        <w:rPr>
          <w:rFonts w:cs="Arial"/>
          <w:b/>
          <w:bCs/>
          <w:sz w:val="24"/>
          <w:lang w:val="en-US"/>
        </w:rPr>
      </w:pPr>
    </w:p>
    <w:p w14:paraId="1C958769" w14:textId="4E56CA92"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731298">
        <w:rPr>
          <w:rFonts w:cs="Arial"/>
          <w:b/>
          <w:bCs/>
          <w:sz w:val="24"/>
        </w:rPr>
        <w:t>7</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C35271">
        <w:rPr>
          <w:rFonts w:eastAsia="Times New Roman" w:cs="Arial"/>
          <w:b/>
          <w:bCs/>
          <w:sz w:val="24"/>
        </w:rPr>
        <w:t>3</w:t>
      </w:r>
    </w:p>
    <w:p w14:paraId="2F7880FE"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CF94C71" w14:textId="77777777"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F74453">
        <w:rPr>
          <w:rFonts w:ascii="Arial" w:hAnsi="Arial" w:cs="Arial"/>
          <w:b/>
          <w:bCs/>
          <w:sz w:val="24"/>
        </w:rPr>
        <w:t>Considerations on Subsequent CPAC after SCG C</w:t>
      </w:r>
      <w:r w:rsidR="00C35271" w:rsidRPr="00C35271">
        <w:rPr>
          <w:rFonts w:ascii="Arial" w:hAnsi="Arial" w:cs="Arial"/>
          <w:b/>
          <w:bCs/>
          <w:sz w:val="24"/>
        </w:rPr>
        <w:t>hange</w:t>
      </w:r>
    </w:p>
    <w:p w14:paraId="42F65F6C"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00B779F2" w14:textId="77777777" w:rsidR="00B4542E" w:rsidRDefault="00B4542E" w:rsidP="001A0BAE">
      <w:pPr>
        <w:pStyle w:val="1"/>
      </w:pPr>
      <w:r w:rsidRPr="004B33DE">
        <w:t>Introduction</w:t>
      </w:r>
    </w:p>
    <w:p w14:paraId="1F585B27" w14:textId="77777777"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5E3E0B">
        <w:rPr>
          <w:szCs w:val="22"/>
          <w:lang w:val="en-GB" w:eastAsia="ko-KR"/>
        </w:rPr>
        <w:t xml:space="preserve">handles further issues need to be concluded to support </w:t>
      </w:r>
      <w:r w:rsidR="005E3E0B">
        <w:rPr>
          <w:rFonts w:ascii="Times" w:eastAsia="바탕" w:hAnsi="Times" w:cs="Times"/>
          <w:lang w:val="en-GB" w:eastAsia="en-US"/>
        </w:rPr>
        <w:t xml:space="preserve">the </w:t>
      </w:r>
      <w:r w:rsidR="005E3E0B" w:rsidRPr="00BD6028">
        <w:rPr>
          <w:rFonts w:ascii="Times" w:eastAsia="바탕" w:hAnsi="Times" w:cs="Times"/>
          <w:lang w:val="en-GB" w:eastAsia="en-US"/>
        </w:rPr>
        <w:t>subsequent CPAC after SCG cha</w:t>
      </w:r>
      <w:r w:rsidR="005E3E0B">
        <w:rPr>
          <w:rFonts w:ascii="Times" w:eastAsia="바탕" w:hAnsi="Times" w:cs="Times"/>
          <w:lang w:val="en-GB" w:eastAsia="en-US"/>
        </w:rPr>
        <w:t>nge.</w:t>
      </w:r>
    </w:p>
    <w:p w14:paraId="1BAD9F4B" w14:textId="77777777" w:rsidR="009E352D" w:rsidRDefault="00F01C7A" w:rsidP="00774A12">
      <w:pPr>
        <w:pStyle w:val="1"/>
      </w:pPr>
      <w:r>
        <w:t>Discussion</w:t>
      </w:r>
    </w:p>
    <w:p w14:paraId="6EC4B598" w14:textId="77777777" w:rsidR="007B2FB2" w:rsidRDefault="002A0936" w:rsidP="00FD4B94">
      <w:pPr>
        <w:pStyle w:val="2"/>
        <w:tabs>
          <w:tab w:val="clear" w:pos="3270"/>
        </w:tabs>
        <w:ind w:left="426" w:hanging="284"/>
        <w:rPr>
          <w:lang w:val="en-GB" w:eastAsia="en-US"/>
        </w:rPr>
      </w:pPr>
      <w:r>
        <w:rPr>
          <w:lang w:val="en-GB" w:eastAsia="en-US"/>
        </w:rPr>
        <w:t>Background</w:t>
      </w:r>
    </w:p>
    <w:p w14:paraId="0B776EA6" w14:textId="77777777" w:rsidR="002A0936" w:rsidRDefault="002A0936" w:rsidP="002A0936">
      <w:pPr>
        <w:rPr>
          <w:lang w:eastAsia="ko-KR"/>
        </w:rPr>
      </w:pPr>
      <w:r>
        <w:rPr>
          <w:lang w:eastAsia="ko-KR"/>
        </w:rPr>
        <w:t>For the Rel-16/17 CPA/CPC (conditional PSCell addition/conditional PSCell change) operation, current specification</w:t>
      </w:r>
      <w:r w:rsidR="0061616B">
        <w:rPr>
          <w:lang w:eastAsia="ko-KR"/>
        </w:rPr>
        <w:t>s allow</w:t>
      </w:r>
      <w:r>
        <w:rPr>
          <w:lang w:eastAsia="ko-KR"/>
        </w:rPr>
        <w:t xml:space="preserve"> only one activated SN and </w:t>
      </w:r>
      <w:r w:rsidRPr="00FC55AD">
        <w:rPr>
          <w:lang w:eastAsia="ko-KR"/>
        </w:rPr>
        <w:t>UE is configured with the multiple candidate SNs for CPAC</w:t>
      </w:r>
      <w:r>
        <w:rPr>
          <w:lang w:eastAsia="ko-KR"/>
        </w:rPr>
        <w:t>. Below is the structure of legacy Rel-16/17 CPA/CPC configurations.</w:t>
      </w:r>
    </w:p>
    <w:p w14:paraId="7FDC9577" w14:textId="77777777"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List of candidate CG configurations (maximum 8 entries).</w:t>
      </w:r>
    </w:p>
    <w:p w14:paraId="4C5EFB27" w14:textId="77777777"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condReconfigId-r16 (from 1 to 8) represent the index of candidate configurations.</w:t>
      </w:r>
    </w:p>
    <w:p w14:paraId="72D5E9FF" w14:textId="77777777" w:rsidR="002A0936" w:rsidRDefault="002A0936" w:rsidP="002A0936">
      <w:pPr>
        <w:keepNext/>
        <w:jc w:val="center"/>
      </w:pPr>
      <w:r>
        <w:rPr>
          <w:rFonts w:ascii="Calibri" w:hAnsi="Calibri" w:cs="Calibri"/>
          <w:noProof/>
          <w:sz w:val="22"/>
          <w:lang w:eastAsia="ko-KR"/>
        </w:rPr>
        <w:drawing>
          <wp:inline distT="0" distB="0" distL="0" distR="0" wp14:anchorId="23AAF0CE" wp14:editId="6FE4C9A7">
            <wp:extent cx="4582402" cy="1362788"/>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480" cy="1363406"/>
                    </a:xfrm>
                    <a:prstGeom prst="rect">
                      <a:avLst/>
                    </a:prstGeom>
                    <a:noFill/>
                  </pic:spPr>
                </pic:pic>
              </a:graphicData>
            </a:graphic>
          </wp:inline>
        </w:drawing>
      </w:r>
    </w:p>
    <w:p w14:paraId="137ECBE2" w14:textId="42AA5096" w:rsidR="002A0936" w:rsidRDefault="002A0936" w:rsidP="002A0936">
      <w:pPr>
        <w:pStyle w:val="aa"/>
        <w:jc w:val="center"/>
      </w:pPr>
      <w:r>
        <w:rPr>
          <w:lang w:eastAsia="ko-KR"/>
        </w:rPr>
        <w:t xml:space="preserve">Fig </w:t>
      </w:r>
      <w:r>
        <w:rPr>
          <w:lang w:eastAsia="ko-KR"/>
        </w:rPr>
        <w:fldChar w:fldCharType="begin"/>
      </w:r>
      <w:r>
        <w:rPr>
          <w:lang w:eastAsia="ko-KR"/>
        </w:rPr>
        <w:instrText xml:space="preserve"> SEQ Figure \* ARABIC </w:instrText>
      </w:r>
      <w:r>
        <w:rPr>
          <w:lang w:eastAsia="ko-KR"/>
        </w:rPr>
        <w:fldChar w:fldCharType="separate"/>
      </w:r>
      <w:r w:rsidR="0082113E">
        <w:rPr>
          <w:noProof/>
          <w:lang w:eastAsia="ko-KR"/>
        </w:rPr>
        <w:t>1</w:t>
      </w:r>
      <w:r>
        <w:rPr>
          <w:lang w:eastAsia="ko-KR"/>
        </w:rPr>
        <w:fldChar w:fldCharType="end"/>
      </w:r>
      <w:r>
        <w:t>: Structure of CHO/CPAC configurations</w:t>
      </w:r>
    </w:p>
    <w:p w14:paraId="0260547A" w14:textId="77777777" w:rsidR="003E3963" w:rsidRDefault="002A0936" w:rsidP="002A0936">
      <w:pPr>
        <w:rPr>
          <w:rFonts w:eastAsiaTheme="minorEastAsia"/>
          <w:lang w:eastAsia="ko-KR"/>
        </w:rPr>
      </w:pPr>
      <w:r>
        <w:rPr>
          <w:rFonts w:eastAsiaTheme="minorEastAsia"/>
          <w:lang w:eastAsia="ko-KR"/>
        </w:rPr>
        <w:t>Even though the multiple candidate CG configurations can be configured, these CG configuration stored in the UE would be release after SCG change so the subsequent SCG change using CPAC configuration has not been supported.</w:t>
      </w:r>
    </w:p>
    <w:p w14:paraId="449588B6" w14:textId="77777777" w:rsidR="005E3E0B" w:rsidRPr="002A0936" w:rsidRDefault="005E3E0B" w:rsidP="002A0936">
      <w:pPr>
        <w:rPr>
          <w:b/>
          <w:bCs/>
          <w:noProof/>
          <w:lang w:eastAsia="ko-KR"/>
        </w:rPr>
      </w:pPr>
      <w:r>
        <w:rPr>
          <w:rFonts w:eastAsiaTheme="minorEastAsia"/>
          <w:lang w:eastAsia="ko-KR"/>
        </w:rPr>
        <w:t xml:space="preserve">In RAN2#119bis-e meeting, RAN2 made high level agreements to support </w:t>
      </w:r>
      <w:r w:rsidRPr="00D936CB">
        <w:t xml:space="preserve">subsequent </w:t>
      </w:r>
      <w:r>
        <w:t xml:space="preserve">secondary </w:t>
      </w:r>
      <w:r w:rsidRPr="00D936CB">
        <w:t>cell group change</w:t>
      </w:r>
      <w:r>
        <w:t xml:space="preserve"> as captured above. </w:t>
      </w:r>
      <w:r w:rsidR="007E2D43">
        <w:t xml:space="preserve">In addition, RAN2 also agreed to handle the reference configuration as a separate configuration in RAN2#120 meeting. </w:t>
      </w:r>
      <w:r>
        <w:t xml:space="preserve">We think above </w:t>
      </w:r>
      <w:r>
        <w:rPr>
          <w:rFonts w:eastAsiaTheme="minorEastAsia"/>
          <w:lang w:eastAsia="ko-KR"/>
        </w:rPr>
        <w:t>baseline agreements are most essential procedure and details can be further discussed</w:t>
      </w:r>
      <w:r w:rsidR="00E32846">
        <w:rPr>
          <w:rFonts w:eastAsiaTheme="minorEastAsia"/>
          <w:lang w:eastAsia="ko-KR"/>
        </w:rPr>
        <w:t>, i.e. FFS points above can be discussed in this contribution.</w:t>
      </w:r>
    </w:p>
    <w:p w14:paraId="37AA9765" w14:textId="77777777" w:rsidR="007E2D43" w:rsidRDefault="007E2D43" w:rsidP="00B85810">
      <w:pPr>
        <w:pStyle w:val="2"/>
        <w:tabs>
          <w:tab w:val="clear" w:pos="3270"/>
        </w:tabs>
        <w:ind w:left="426" w:hanging="284"/>
      </w:pPr>
      <w:r>
        <w:rPr>
          <w:rFonts w:hint="eastAsia"/>
          <w:lang w:val="en-GB" w:eastAsia="ko-KR"/>
        </w:rPr>
        <w:t xml:space="preserve">Naming of </w:t>
      </w:r>
      <w:r w:rsidRPr="00305B9C">
        <w:t>NR-DC with selective activation cell of groups</w:t>
      </w:r>
    </w:p>
    <w:p w14:paraId="267ED00A" w14:textId="77777777" w:rsidR="00C14873" w:rsidRDefault="007E2D43" w:rsidP="007E2D43">
      <w:pPr>
        <w:rPr>
          <w:rFonts w:eastAsia="Yu Mincho"/>
        </w:rPr>
      </w:pPr>
      <w:r>
        <w:rPr>
          <w:rFonts w:eastAsiaTheme="minorEastAsia" w:hint="eastAsia"/>
          <w:lang w:eastAsia="ko-KR"/>
        </w:rPr>
        <w:t xml:space="preserve">In RAN2#120 meeting, RAN2 discussed if the name of </w:t>
      </w:r>
      <w:r w:rsidRPr="00305B9C">
        <w:t>NR-DC with selective activation cell of groups</w:t>
      </w:r>
      <w:r>
        <w:t xml:space="preserve"> is required and if needed, what would be the proper name for this feature. There were some candidates on the table from the companies and most of candi</w:t>
      </w:r>
      <w:r w:rsidR="00C14873">
        <w:t>dates can fit with this feature but following two options are supported by quite many companies.</w:t>
      </w:r>
    </w:p>
    <w:p w14:paraId="69FFDB02" w14:textId="77777777" w:rsidR="00C14873" w:rsidRPr="00C14873" w:rsidRDefault="00C14873" w:rsidP="00C14873">
      <w:pPr>
        <w:pStyle w:val="af0"/>
        <w:numPr>
          <w:ilvl w:val="0"/>
          <w:numId w:val="30"/>
        </w:numPr>
        <w:ind w:firstLineChars="0"/>
        <w:rPr>
          <w:rFonts w:ascii="Times New Roman" w:eastAsia="Yu Mincho" w:hAnsi="Times New Roman"/>
          <w:sz w:val="20"/>
        </w:rPr>
      </w:pPr>
      <w:r w:rsidRPr="00C14873">
        <w:rPr>
          <w:rFonts w:ascii="Times New Roman" w:eastAsiaTheme="minorEastAsia" w:hAnsi="Times New Roman"/>
          <w:sz w:val="20"/>
          <w:lang w:eastAsia="ko-KR"/>
        </w:rPr>
        <w:t>Option 1:</w:t>
      </w:r>
      <w:r>
        <w:rPr>
          <w:rFonts w:ascii="Times New Roman" w:eastAsiaTheme="minorEastAsia" w:hAnsi="Times New Roman"/>
          <w:sz w:val="20"/>
          <w:lang w:eastAsia="ko-KR"/>
        </w:rPr>
        <w:t xml:space="preserve"> Selective activation of PSCell change (SAPC)</w:t>
      </w:r>
    </w:p>
    <w:p w14:paraId="1781D197" w14:textId="77777777" w:rsidR="00C14873" w:rsidRPr="00C14873" w:rsidRDefault="00C14873" w:rsidP="00C14873">
      <w:pPr>
        <w:pStyle w:val="af0"/>
        <w:numPr>
          <w:ilvl w:val="0"/>
          <w:numId w:val="30"/>
        </w:numPr>
        <w:ind w:firstLineChars="0"/>
        <w:rPr>
          <w:rFonts w:ascii="Times New Roman" w:eastAsia="Yu Mincho" w:hAnsi="Times New Roman"/>
          <w:sz w:val="20"/>
        </w:rPr>
      </w:pPr>
      <w:r>
        <w:rPr>
          <w:rFonts w:ascii="Times New Roman" w:eastAsiaTheme="minorEastAsia" w:hAnsi="Times New Roman"/>
          <w:sz w:val="20"/>
          <w:lang w:eastAsia="ko-KR"/>
        </w:rPr>
        <w:t>Option 2: Subsequent CPAC (SCPAC)</w:t>
      </w:r>
    </w:p>
    <w:p w14:paraId="6A525CFA" w14:textId="1AD452A4" w:rsidR="00C14873" w:rsidRDefault="00C14873" w:rsidP="00C14873">
      <w:pPr>
        <w:rPr>
          <w:rFonts w:eastAsiaTheme="minorEastAsia"/>
          <w:lang w:eastAsia="ko-KR"/>
        </w:rPr>
      </w:pPr>
      <w:r>
        <w:rPr>
          <w:rFonts w:eastAsiaTheme="minorEastAsia"/>
          <w:lang w:eastAsia="ko-KR"/>
        </w:rPr>
        <w:lastRenderedPageBreak/>
        <w:t>Based on our understanding, those two aspects are desc</w:t>
      </w:r>
      <w:r w:rsidR="005607AA">
        <w:rPr>
          <w:rFonts w:eastAsiaTheme="minorEastAsia"/>
          <w:lang w:eastAsia="ko-KR"/>
        </w:rPr>
        <w:t>ribed as objective in the WID [5</w:t>
      </w:r>
      <w:r>
        <w:rPr>
          <w:rFonts w:eastAsiaTheme="minorEastAsia"/>
          <w:lang w:eastAsia="ko-KR"/>
        </w:rPr>
        <w:t>]:</w:t>
      </w:r>
    </w:p>
    <w:tbl>
      <w:tblPr>
        <w:tblStyle w:val="ab"/>
        <w:tblW w:w="0" w:type="auto"/>
        <w:tblLook w:val="04A0" w:firstRow="1" w:lastRow="0" w:firstColumn="1" w:lastColumn="0" w:noHBand="0" w:noVBand="1"/>
      </w:tblPr>
      <w:tblGrid>
        <w:gridCol w:w="9017"/>
      </w:tblGrid>
      <w:tr w:rsidR="00C14873" w14:paraId="683620F4" w14:textId="77777777" w:rsidTr="00C14873">
        <w:trPr>
          <w:hidden/>
        </w:trPr>
        <w:tc>
          <w:tcPr>
            <w:tcW w:w="9017" w:type="dxa"/>
          </w:tcPr>
          <w:p w14:paraId="74C5DBD4" w14:textId="77777777" w:rsidR="00C14873" w:rsidRPr="00B722BE" w:rsidRDefault="00C14873" w:rsidP="003373D9">
            <w:pPr>
              <w:pStyle w:val="af0"/>
              <w:numPr>
                <w:ilvl w:val="0"/>
                <w:numId w:val="7"/>
              </w:numPr>
              <w:overflowPunct w:val="0"/>
              <w:autoSpaceDE w:val="0"/>
              <w:autoSpaceDN w:val="0"/>
              <w:snapToGrid/>
              <w:spacing w:after="0"/>
              <w:ind w:firstLineChars="0"/>
              <w:jc w:val="both"/>
              <w:rPr>
                <w:rFonts w:ascii="Times New Roman" w:eastAsia="굴림" w:hAnsi="Times New Roman"/>
                <w:bCs/>
                <w:vanish/>
                <w:sz w:val="20"/>
                <w:szCs w:val="20"/>
                <w:lang w:eastAsia="ja-JP"/>
              </w:rPr>
            </w:pPr>
          </w:p>
          <w:p w14:paraId="658F3B44" w14:textId="77777777" w:rsidR="00C14873" w:rsidRPr="00E90B9D" w:rsidRDefault="00C14873" w:rsidP="003373D9">
            <w:pPr>
              <w:numPr>
                <w:ilvl w:val="0"/>
                <w:numId w:val="7"/>
              </w:numPr>
              <w:spacing w:after="0"/>
              <w:jc w:val="both"/>
              <w:rPr>
                <w:bCs/>
              </w:rPr>
            </w:pPr>
            <w:r>
              <w:rPr>
                <w:bCs/>
              </w:rPr>
              <w:t xml:space="preserve">To specify </w:t>
            </w:r>
            <w:r w:rsidRPr="00E90B9D">
              <w:rPr>
                <w:bCs/>
              </w:rPr>
              <w:t>mechanism and procedures of NR-DC with selective activation of the cell groups (at least for SCG) via L3 enhancements:</w:t>
            </w:r>
          </w:p>
          <w:p w14:paraId="42E1853B" w14:textId="77777777" w:rsidR="00C14873" w:rsidRPr="00E90B9D" w:rsidRDefault="00C14873" w:rsidP="003373D9">
            <w:pPr>
              <w:numPr>
                <w:ilvl w:val="0"/>
                <w:numId w:val="8"/>
              </w:numPr>
              <w:spacing w:after="0"/>
              <w:jc w:val="both"/>
              <w:rPr>
                <w:bCs/>
              </w:rPr>
            </w:pPr>
            <w:r w:rsidRPr="00E90B9D">
              <w:rPr>
                <w:bCs/>
              </w:rPr>
              <w:t>To allow subsequent cell group change after changing CG without reconfiguration and re-initiation of CPC/CPA [RAN2, RAN3, RAN4]</w:t>
            </w:r>
          </w:p>
          <w:p w14:paraId="60C106FE" w14:textId="77777777" w:rsidR="00C14873" w:rsidRPr="00B722BE" w:rsidRDefault="00C14873" w:rsidP="003373D9">
            <w:pPr>
              <w:spacing w:after="0"/>
              <w:ind w:left="720"/>
              <w:jc w:val="both"/>
              <w:rPr>
                <w:rFonts w:eastAsiaTheme="minorEastAsia"/>
                <w:bCs/>
                <w:i/>
                <w:lang w:eastAsia="en-GB"/>
              </w:rPr>
            </w:pPr>
            <w:r w:rsidRPr="00E90B9D">
              <w:rPr>
                <w:bCs/>
                <w:i/>
              </w:rPr>
              <w:t>Note 4: A harmonized</w:t>
            </w:r>
            <w:r w:rsidRPr="00E90B9D">
              <w:rPr>
                <w:rStyle w:val="af8"/>
              </w:rPr>
              <w:t xml:space="preserve"> RRC modelling approach</w:t>
            </w:r>
            <w:r w:rsidRPr="00E9536B">
              <w:rPr>
                <w:rStyle w:val="af8"/>
              </w:rPr>
              <w:t xml:space="preserve"> for objective</w:t>
            </w:r>
            <w:r w:rsidRPr="00F736B4">
              <w:rPr>
                <w:rStyle w:val="af8"/>
                <w:i w:val="0"/>
              </w:rPr>
              <w:t>s</w:t>
            </w:r>
            <w:r w:rsidRPr="00C62537">
              <w:rPr>
                <w:rStyle w:val="af8"/>
              </w:rPr>
              <w:t xml:space="preserve"> 1 and 2 could be cons</w:t>
            </w:r>
            <w:r w:rsidRPr="00E9536B">
              <w:rPr>
                <w:rStyle w:val="af8"/>
              </w:rPr>
              <w:t>idered to minimize the work</w:t>
            </w:r>
            <w:r w:rsidRPr="00331F60">
              <w:rPr>
                <w:rStyle w:val="af8"/>
              </w:rPr>
              <w:t xml:space="preserve">load in </w:t>
            </w:r>
            <w:r w:rsidRPr="00B67AE0">
              <w:rPr>
                <w:rStyle w:val="af8"/>
              </w:rPr>
              <w:t>RAN2.</w:t>
            </w:r>
          </w:p>
        </w:tc>
      </w:tr>
    </w:tbl>
    <w:p w14:paraId="7F9B12F1" w14:textId="77777777" w:rsidR="00C14873" w:rsidRDefault="00C14873" w:rsidP="00C14873">
      <w:pPr>
        <w:rPr>
          <w:rFonts w:eastAsia="Yu Mincho"/>
        </w:rPr>
      </w:pPr>
    </w:p>
    <w:p w14:paraId="7B32B3BD" w14:textId="77777777" w:rsidR="00562256" w:rsidRDefault="00BD3C15" w:rsidP="00C14873">
      <w:pPr>
        <w:rPr>
          <w:rFonts w:eastAsiaTheme="minorEastAsia"/>
          <w:lang w:eastAsia="ko-KR"/>
        </w:rPr>
      </w:pPr>
      <w:r>
        <w:rPr>
          <w:rFonts w:eastAsiaTheme="minorEastAsia"/>
          <w:lang w:eastAsia="ko-KR"/>
        </w:rPr>
        <w:t>The “</w:t>
      </w:r>
      <w:r w:rsidRPr="00BD3C15">
        <w:rPr>
          <w:rFonts w:eastAsiaTheme="minorEastAsia"/>
          <w:lang w:eastAsia="ko-KR"/>
        </w:rPr>
        <w:t>selective activation of the cell groups</w:t>
      </w:r>
      <w:r>
        <w:rPr>
          <w:rFonts w:eastAsiaTheme="minorEastAsia"/>
          <w:lang w:eastAsia="ko-KR"/>
        </w:rPr>
        <w:t>”</w:t>
      </w:r>
      <w:r w:rsidRPr="00BD3C15">
        <w:rPr>
          <w:rFonts w:eastAsiaTheme="minorEastAsia"/>
          <w:lang w:eastAsia="ko-KR"/>
        </w:rPr>
        <w:t xml:space="preserve"> </w:t>
      </w:r>
      <w:r>
        <w:rPr>
          <w:rFonts w:eastAsiaTheme="minorEastAsia"/>
          <w:lang w:eastAsia="ko-KR"/>
        </w:rPr>
        <w:t>are the objective and t</w:t>
      </w:r>
      <w:r w:rsidR="00562256">
        <w:rPr>
          <w:rFonts w:eastAsiaTheme="minorEastAsia" w:hint="eastAsia"/>
          <w:lang w:eastAsia="ko-KR"/>
        </w:rPr>
        <w:t xml:space="preserve">he main </w:t>
      </w:r>
      <w:r>
        <w:rPr>
          <w:rFonts w:eastAsiaTheme="minorEastAsia"/>
          <w:lang w:eastAsia="ko-KR"/>
        </w:rPr>
        <w:t xml:space="preserve">technical </w:t>
      </w:r>
      <w:r w:rsidR="00562256">
        <w:rPr>
          <w:rFonts w:eastAsiaTheme="minorEastAsia" w:hint="eastAsia"/>
          <w:lang w:eastAsia="ko-KR"/>
        </w:rPr>
        <w:t xml:space="preserve">functionality </w:t>
      </w:r>
      <w:r>
        <w:rPr>
          <w:rFonts w:eastAsiaTheme="minorEastAsia"/>
          <w:lang w:eastAsia="ko-KR"/>
        </w:rPr>
        <w:t>will be</w:t>
      </w:r>
      <w:r w:rsidR="00562256">
        <w:rPr>
          <w:rFonts w:eastAsiaTheme="minorEastAsia" w:hint="eastAsia"/>
          <w:lang w:eastAsia="ko-KR"/>
        </w:rPr>
        <w:t xml:space="preserve"> introduced in Rel-18 mobility enhancement WI is allowing </w:t>
      </w:r>
      <w:r>
        <w:rPr>
          <w:rFonts w:eastAsiaTheme="minorEastAsia"/>
          <w:lang w:eastAsia="ko-KR"/>
        </w:rPr>
        <w:t>“</w:t>
      </w:r>
      <w:r w:rsidR="00562256">
        <w:rPr>
          <w:rFonts w:eastAsiaTheme="minorEastAsia" w:hint="eastAsia"/>
          <w:lang w:eastAsia="ko-KR"/>
        </w:rPr>
        <w:t>subsequent cell group change after chan</w:t>
      </w:r>
      <w:r w:rsidR="00562256">
        <w:rPr>
          <w:rFonts w:eastAsiaTheme="minorEastAsia"/>
          <w:lang w:eastAsia="ko-KR"/>
        </w:rPr>
        <w:t>g</w:t>
      </w:r>
      <w:r w:rsidR="00562256">
        <w:rPr>
          <w:rFonts w:eastAsiaTheme="minorEastAsia" w:hint="eastAsia"/>
          <w:lang w:eastAsia="ko-KR"/>
        </w:rPr>
        <w:t xml:space="preserve">ing CG without </w:t>
      </w:r>
      <w:r w:rsidR="00562256">
        <w:rPr>
          <w:bCs/>
        </w:rPr>
        <w:t>reconfiguration</w:t>
      </w:r>
      <w:r>
        <w:rPr>
          <w:bCs/>
        </w:rPr>
        <w:t xml:space="preserve">”. </w:t>
      </w:r>
      <w:r w:rsidR="00562256">
        <w:rPr>
          <w:bCs/>
        </w:rPr>
        <w:t xml:space="preserve"> </w:t>
      </w:r>
      <w:r>
        <w:rPr>
          <w:bCs/>
        </w:rPr>
        <w:t xml:space="preserve">From our view, Option 2 is better to reflect the detail functionality describing the feature for achieving the </w:t>
      </w:r>
      <w:r>
        <w:rPr>
          <w:rFonts w:eastAsiaTheme="minorEastAsia"/>
          <w:lang w:eastAsia="ko-KR"/>
        </w:rPr>
        <w:t>“</w:t>
      </w:r>
      <w:r w:rsidRPr="00BD3C15">
        <w:rPr>
          <w:rFonts w:eastAsiaTheme="minorEastAsia"/>
          <w:lang w:eastAsia="ko-KR"/>
        </w:rPr>
        <w:t>selective activation of the cell groups</w:t>
      </w:r>
      <w:r>
        <w:rPr>
          <w:rFonts w:eastAsiaTheme="minorEastAsia"/>
          <w:lang w:eastAsia="ko-KR"/>
        </w:rPr>
        <w:t>”.</w:t>
      </w:r>
    </w:p>
    <w:p w14:paraId="6326542B" w14:textId="77777777" w:rsidR="00C14873" w:rsidRDefault="00BD3C15" w:rsidP="00BD3C15">
      <w:pPr>
        <w:pStyle w:val="B4"/>
        <w:ind w:left="1100" w:hangingChars="550" w:hanging="1100"/>
        <w:jc w:val="both"/>
        <w:rPr>
          <w:rFonts w:eastAsia="Yu Mincho"/>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RAN2 determines the “</w:t>
      </w:r>
      <w:r w:rsidRPr="00BD3C15">
        <w:rPr>
          <w:b/>
          <w:bCs/>
          <w:noProof/>
          <w:lang w:eastAsia="ko-KR"/>
        </w:rPr>
        <w:t>Subsequent CPAC (SCPAC)</w:t>
      </w:r>
      <w:r>
        <w:rPr>
          <w:b/>
          <w:bCs/>
          <w:noProof/>
          <w:lang w:eastAsia="ko-KR"/>
        </w:rPr>
        <w:t xml:space="preserve">” as a name of </w:t>
      </w:r>
      <w:r w:rsidRPr="00BD3C15">
        <w:rPr>
          <w:b/>
          <w:bCs/>
          <w:noProof/>
          <w:lang w:eastAsia="ko-KR"/>
        </w:rPr>
        <w:t>NR-DC with selective activation of the cell groups</w:t>
      </w:r>
      <w:r>
        <w:rPr>
          <w:b/>
          <w:bCs/>
          <w:noProof/>
          <w:lang w:eastAsia="ko-KR"/>
        </w:rPr>
        <w:t>.</w:t>
      </w:r>
    </w:p>
    <w:p w14:paraId="5077CEDC" w14:textId="05C8A598" w:rsidR="00B85810" w:rsidRDefault="00E90B9D" w:rsidP="00B85810">
      <w:pPr>
        <w:pStyle w:val="2"/>
        <w:tabs>
          <w:tab w:val="clear" w:pos="3270"/>
        </w:tabs>
        <w:ind w:left="426" w:hanging="284"/>
        <w:rPr>
          <w:lang w:val="en-GB" w:eastAsia="en-US"/>
        </w:rPr>
      </w:pPr>
      <w:r>
        <w:rPr>
          <w:lang w:val="en-GB" w:eastAsia="en-US"/>
        </w:rPr>
        <w:t>MCG reference cell configuration</w:t>
      </w:r>
    </w:p>
    <w:p w14:paraId="054D0732" w14:textId="3E007101" w:rsidR="00E90B9D" w:rsidRDefault="00E90B9D" w:rsidP="00E90B9D">
      <w:pPr>
        <w:rPr>
          <w:rFonts w:eastAsiaTheme="minorEastAsia"/>
          <w:lang w:eastAsia="ko-KR"/>
        </w:rPr>
      </w:pPr>
      <w:r>
        <w:rPr>
          <w:rFonts w:eastAsiaTheme="minorEastAsia" w:hint="eastAsia"/>
          <w:lang w:eastAsia="ko-KR"/>
        </w:rPr>
        <w:t xml:space="preserve">In RAN2#121bis-e meeting, RAN2 </w:t>
      </w:r>
      <w:r>
        <w:rPr>
          <w:rFonts w:eastAsiaTheme="minorEastAsia"/>
          <w:lang w:eastAsia="ko-KR"/>
        </w:rPr>
        <w:t>made following agreements and supporting whether MCG configuration is included in the Rel-18 CPC configurations leaves FFS.</w:t>
      </w:r>
    </w:p>
    <w:p w14:paraId="34954183" w14:textId="77777777" w:rsidR="00E90B9D" w:rsidRDefault="00E90B9D" w:rsidP="00E90B9D">
      <w:pPr>
        <w:pStyle w:val="Agreement"/>
        <w:tabs>
          <w:tab w:val="clear" w:pos="360"/>
          <w:tab w:val="num" w:pos="1619"/>
        </w:tabs>
        <w:ind w:left="1619"/>
      </w:pPr>
      <w:r>
        <w:t>The following may be included in the initial RRC reconfiguration message containing the Rel-18 CPC configurations:</w:t>
      </w:r>
    </w:p>
    <w:p w14:paraId="5CFF1C53" w14:textId="77777777" w:rsidR="00E90B9D" w:rsidRDefault="00E90B9D" w:rsidP="00E90B9D">
      <w:pPr>
        <w:pStyle w:val="Agreement"/>
        <w:numPr>
          <w:ilvl w:val="0"/>
          <w:numId w:val="48"/>
        </w:numPr>
      </w:pPr>
      <w:r>
        <w:t>Reference SCG configuration (Optionality FFS). Assume as for LTM Reference configuration may be empty.</w:t>
      </w:r>
    </w:p>
    <w:p w14:paraId="41EE7EE8" w14:textId="77777777" w:rsidR="00E90B9D" w:rsidRDefault="00E90B9D" w:rsidP="00E90B9D">
      <w:pPr>
        <w:pStyle w:val="Agreement"/>
        <w:numPr>
          <w:ilvl w:val="0"/>
          <w:numId w:val="0"/>
        </w:numPr>
        <w:ind w:left="1619"/>
      </w:pPr>
      <w:r w:rsidRPr="00E90B9D">
        <w:rPr>
          <w:highlight w:val="yellow"/>
        </w:rPr>
        <w:t>FFS whether MCG configuration is included.</w:t>
      </w:r>
      <w:r>
        <w:t xml:space="preserve"> </w:t>
      </w:r>
    </w:p>
    <w:p w14:paraId="7587738D" w14:textId="77777777" w:rsidR="00E90B9D" w:rsidRDefault="00E90B9D" w:rsidP="00E90B9D">
      <w:pPr>
        <w:pStyle w:val="Agreement"/>
        <w:numPr>
          <w:ilvl w:val="0"/>
          <w:numId w:val="0"/>
        </w:numPr>
        <w:ind w:left="1619"/>
      </w:pPr>
      <w:r>
        <w:t>FFS RRC model for the reference configuration.</w:t>
      </w:r>
    </w:p>
    <w:p w14:paraId="71C8BC57" w14:textId="77777777" w:rsidR="00E90B9D" w:rsidRDefault="00E90B9D" w:rsidP="00E90B9D">
      <w:pPr>
        <w:rPr>
          <w:rFonts w:eastAsiaTheme="minorEastAsia"/>
          <w:lang w:val="en-GB" w:eastAsia="ko-KR"/>
        </w:rPr>
      </w:pPr>
    </w:p>
    <w:p w14:paraId="309739E8" w14:textId="050F2E7E" w:rsidR="00E90B9D" w:rsidRDefault="00E90B9D" w:rsidP="00E90B9D">
      <w:pPr>
        <w:rPr>
          <w:rFonts w:eastAsiaTheme="minorEastAsia"/>
          <w:lang w:val="en-GB" w:eastAsia="ko-KR"/>
        </w:rPr>
      </w:pPr>
      <w:r>
        <w:rPr>
          <w:rFonts w:eastAsiaTheme="minorEastAsia" w:hint="eastAsia"/>
          <w:lang w:val="en-GB" w:eastAsia="ko-KR"/>
        </w:rPr>
        <w:t>Current specification for CPC allow</w:t>
      </w:r>
      <w:r>
        <w:rPr>
          <w:rFonts w:eastAsiaTheme="minorEastAsia"/>
          <w:lang w:val="en-GB" w:eastAsia="ko-KR"/>
        </w:rPr>
        <w:t>s to change the MCG configuration in CPC configuration as shown in Fig 1., so we think MCG configuration should be changed during the Rel-18 CPC operations (i.e. subsequent CPC) because i</w:t>
      </w:r>
      <w:r w:rsidRPr="00E90B9D">
        <w:rPr>
          <w:rFonts w:eastAsiaTheme="minorEastAsia"/>
          <w:lang w:val="en-GB" w:eastAsia="ko-KR"/>
        </w:rPr>
        <w:t xml:space="preserve">t is </w:t>
      </w:r>
      <w:r>
        <w:rPr>
          <w:rFonts w:eastAsiaTheme="minorEastAsia"/>
          <w:lang w:val="en-GB" w:eastAsia="ko-KR"/>
        </w:rPr>
        <w:t>required</w:t>
      </w:r>
      <w:r w:rsidRPr="00E90B9D">
        <w:rPr>
          <w:rFonts w:eastAsiaTheme="minorEastAsia"/>
          <w:lang w:val="en-GB" w:eastAsia="ko-KR"/>
        </w:rPr>
        <w:t xml:space="preserve"> to change MCG configuration associated with the newly configured SCG configurations</w:t>
      </w:r>
      <w:r>
        <w:rPr>
          <w:rFonts w:eastAsiaTheme="minorEastAsia"/>
          <w:lang w:val="en-GB" w:eastAsia="ko-KR"/>
        </w:rPr>
        <w:t>.</w:t>
      </w:r>
      <w:r w:rsidR="007714DC">
        <w:rPr>
          <w:rFonts w:eastAsiaTheme="minorEastAsia"/>
          <w:lang w:val="en-GB" w:eastAsia="ko-KR"/>
        </w:rPr>
        <w:t xml:space="preserve"> We provide some options </w:t>
      </w:r>
      <w:r w:rsidR="007714DC" w:rsidRPr="007714DC">
        <w:rPr>
          <w:rFonts w:eastAsiaTheme="minorEastAsia"/>
          <w:lang w:val="en-GB" w:eastAsia="ko-KR"/>
        </w:rPr>
        <w:t>to support MCG configuration for the subsequent CPC</w:t>
      </w:r>
      <w:r w:rsidR="007714DC">
        <w:rPr>
          <w:rFonts w:eastAsiaTheme="minorEastAsia"/>
          <w:lang w:val="en-GB" w:eastAsia="ko-KR"/>
        </w:rPr>
        <w:t>.</w:t>
      </w:r>
    </w:p>
    <w:p w14:paraId="5BBABD14" w14:textId="5D0E634F" w:rsidR="007714DC" w:rsidRPr="007714DC" w:rsidRDefault="007714DC" w:rsidP="007714DC">
      <w:pPr>
        <w:pStyle w:val="af0"/>
        <w:numPr>
          <w:ilvl w:val="0"/>
          <w:numId w:val="30"/>
        </w:numPr>
        <w:ind w:firstLineChars="0"/>
        <w:rPr>
          <w:rFonts w:ascii="Times New Roman" w:eastAsiaTheme="minorEastAsia" w:hAnsi="Times New Roman"/>
          <w:sz w:val="20"/>
          <w:lang w:eastAsia="ko-KR"/>
        </w:rPr>
      </w:pPr>
      <w:r w:rsidRPr="007714DC">
        <w:rPr>
          <w:rFonts w:ascii="Times New Roman" w:eastAsiaTheme="minorEastAsia" w:hAnsi="Times New Roman"/>
          <w:sz w:val="20"/>
          <w:lang w:eastAsia="ko-KR"/>
        </w:rPr>
        <w:t xml:space="preserve">Option 1: Complete MCG configuration </w:t>
      </w:r>
      <w:r w:rsidR="00E212D1">
        <w:rPr>
          <w:rFonts w:ascii="Times New Roman" w:eastAsiaTheme="minorEastAsia" w:hAnsi="Times New Roman"/>
          <w:sz w:val="20"/>
          <w:lang w:eastAsia="ko-KR"/>
        </w:rPr>
        <w:t xml:space="preserve">is configured </w:t>
      </w:r>
      <w:r w:rsidRPr="007714DC">
        <w:rPr>
          <w:rFonts w:ascii="Times New Roman" w:eastAsiaTheme="minorEastAsia" w:hAnsi="Times New Roman"/>
          <w:sz w:val="20"/>
          <w:lang w:eastAsia="ko-KR"/>
        </w:rPr>
        <w:t xml:space="preserve">with SCG configuration </w:t>
      </w:r>
      <w:r w:rsidR="00E212D1">
        <w:rPr>
          <w:rFonts w:ascii="Times New Roman" w:eastAsiaTheme="minorEastAsia" w:hAnsi="Times New Roman"/>
          <w:sz w:val="20"/>
          <w:lang w:eastAsia="ko-KR"/>
        </w:rPr>
        <w:t>for Rel-18 CPC.</w:t>
      </w:r>
    </w:p>
    <w:p w14:paraId="203EDB53" w14:textId="23E401CE" w:rsidR="00E212D1" w:rsidRPr="00E212D1" w:rsidRDefault="007714DC" w:rsidP="00E212D1">
      <w:pPr>
        <w:pStyle w:val="af0"/>
        <w:numPr>
          <w:ilvl w:val="0"/>
          <w:numId w:val="30"/>
        </w:numPr>
        <w:ind w:firstLineChars="0"/>
        <w:rPr>
          <w:rFonts w:ascii="Times New Roman" w:eastAsiaTheme="minorEastAsia" w:hAnsi="Times New Roman"/>
          <w:sz w:val="20"/>
          <w:lang w:eastAsia="ko-KR"/>
        </w:rPr>
      </w:pPr>
      <w:r w:rsidRPr="00E212D1">
        <w:rPr>
          <w:rFonts w:ascii="Times New Roman" w:eastAsiaTheme="minorEastAsia" w:hAnsi="Times New Roman"/>
          <w:sz w:val="20"/>
          <w:lang w:eastAsia="ko-KR"/>
        </w:rPr>
        <w:t xml:space="preserve">Option 2: Introduce the separate MCG/SCG reference configurations for </w:t>
      </w:r>
      <w:r w:rsidR="00E212D1">
        <w:rPr>
          <w:rFonts w:ascii="Times New Roman" w:eastAsiaTheme="minorEastAsia" w:hAnsi="Times New Roman"/>
          <w:sz w:val="20"/>
          <w:lang w:eastAsia="ko-KR"/>
        </w:rPr>
        <w:t>Rel-18 CPC</w:t>
      </w:r>
      <w:r w:rsidR="00E212D1" w:rsidRPr="00E212D1">
        <w:rPr>
          <w:rFonts w:ascii="Times New Roman" w:eastAsiaTheme="minorEastAsia" w:hAnsi="Times New Roman"/>
          <w:sz w:val="20"/>
          <w:lang w:eastAsia="ko-KR"/>
        </w:rPr>
        <w:t xml:space="preserve"> and </w:t>
      </w:r>
      <w:r w:rsidR="00E212D1">
        <w:rPr>
          <w:rFonts w:ascii="Times New Roman" w:eastAsiaTheme="minorEastAsia" w:hAnsi="Times New Roman"/>
          <w:sz w:val="20"/>
          <w:lang w:eastAsia="ko-KR"/>
        </w:rPr>
        <w:t>e</w:t>
      </w:r>
      <w:r w:rsidR="00E212D1" w:rsidRPr="00E212D1">
        <w:rPr>
          <w:rFonts w:ascii="Times New Roman" w:eastAsiaTheme="minorEastAsia" w:hAnsi="Times New Roman"/>
          <w:sz w:val="20"/>
          <w:lang w:eastAsia="ko-KR"/>
        </w:rPr>
        <w:t xml:space="preserve">ach candidate cell creates the condRRCReconfig for LTM which includes the MCG configuration and SCG configuration based on the reference configurations </w:t>
      </w:r>
    </w:p>
    <w:p w14:paraId="63A691B0" w14:textId="44DF2852" w:rsidR="00E212D1" w:rsidRPr="00E212D1" w:rsidRDefault="00E212D1" w:rsidP="00E212D1">
      <w:pPr>
        <w:rPr>
          <w:rFonts w:eastAsiaTheme="minorEastAsia"/>
          <w:lang w:val="en-GB" w:eastAsia="ko-KR"/>
        </w:rPr>
      </w:pPr>
      <w:r>
        <w:rPr>
          <w:rFonts w:eastAsiaTheme="minorEastAsia"/>
          <w:lang w:val="en-GB" w:eastAsia="ko-KR"/>
        </w:rPr>
        <w:t xml:space="preserve">We think option 2 has merits to reduce the signalling overhead and harmonized signalling structure for MCG/SCG i.e. </w:t>
      </w:r>
      <w:r>
        <w:rPr>
          <w:rFonts w:eastAsiaTheme="minorEastAsia"/>
          <w:lang w:eastAsia="ko-KR"/>
        </w:rPr>
        <w:t>d</w:t>
      </w:r>
      <w:r w:rsidRPr="00E212D1">
        <w:rPr>
          <w:rFonts w:eastAsiaTheme="minorEastAsia"/>
          <w:lang w:eastAsia="ko-KR"/>
        </w:rPr>
        <w:t xml:space="preserve">elta configuration is applied to both MCG/SCG configurations </w:t>
      </w:r>
      <w:r>
        <w:rPr>
          <w:rFonts w:eastAsiaTheme="minorEastAsia"/>
          <w:lang w:eastAsia="ko-KR"/>
        </w:rPr>
        <w:t>for</w:t>
      </w:r>
      <w:r w:rsidRPr="00E212D1">
        <w:rPr>
          <w:rFonts w:eastAsiaTheme="minorEastAsia"/>
          <w:lang w:eastAsia="ko-KR"/>
        </w:rPr>
        <w:t xml:space="preserve"> the candidate cells</w:t>
      </w:r>
      <w:r>
        <w:rPr>
          <w:rFonts w:eastAsiaTheme="minorEastAsia"/>
          <w:lang w:eastAsia="ko-KR"/>
        </w:rPr>
        <w:t xml:space="preserve"> based on the reference MCG/SCG configurations.</w:t>
      </w:r>
    </w:p>
    <w:p w14:paraId="2C508460" w14:textId="36A4DAA8" w:rsidR="00C1409A" w:rsidRDefault="00C1409A" w:rsidP="00C1409A">
      <w:pPr>
        <w:pStyle w:val="B4"/>
        <w:ind w:left="1100" w:hangingChars="550" w:hanging="1100"/>
        <w:jc w:val="both"/>
        <w:rPr>
          <w:rFonts w:eastAsia="Yu Mincho"/>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w:t>
      </w:r>
      <w:r w:rsidRPr="00C1409A">
        <w:rPr>
          <w:b/>
          <w:bCs/>
          <w:iCs/>
          <w:lang w:eastAsia="ko-KR"/>
        </w:rPr>
        <w:t>Introduce the separate MCG/SCG reference configurations for Rel-18 CPC and each candidate cell creates the condRRCReconfig for LTM which includes the MCG configuration and SCG configuration based on the reference configurations</w:t>
      </w:r>
      <w:r>
        <w:rPr>
          <w:b/>
          <w:bCs/>
          <w:iCs/>
          <w:lang w:eastAsia="ko-KR"/>
        </w:rPr>
        <w:t>.</w:t>
      </w:r>
    </w:p>
    <w:p w14:paraId="32775A3C" w14:textId="4716E266" w:rsidR="007714DC" w:rsidRPr="00C1409A" w:rsidRDefault="007714DC" w:rsidP="00E212D1">
      <w:pPr>
        <w:pStyle w:val="af0"/>
        <w:ind w:left="785" w:firstLineChars="0" w:firstLine="0"/>
        <w:rPr>
          <w:rFonts w:ascii="Times New Roman" w:eastAsiaTheme="minorEastAsia" w:hAnsi="Times New Roman"/>
          <w:sz w:val="20"/>
          <w:lang w:eastAsia="ko-KR"/>
        </w:rPr>
      </w:pPr>
    </w:p>
    <w:p w14:paraId="5367DBB8" w14:textId="34BE0FF0" w:rsidR="00E66481" w:rsidRPr="00E66481" w:rsidRDefault="006F6664" w:rsidP="00E66481">
      <w:pPr>
        <w:pStyle w:val="2"/>
        <w:tabs>
          <w:tab w:val="clear" w:pos="3270"/>
        </w:tabs>
        <w:ind w:left="426" w:hanging="284"/>
        <w:rPr>
          <w:lang w:val="en-GB" w:eastAsia="en-US"/>
        </w:rPr>
      </w:pPr>
      <w:r>
        <w:rPr>
          <w:lang w:val="en-GB" w:eastAsia="en-US"/>
        </w:rPr>
        <w:t>Security A</w:t>
      </w:r>
      <w:r w:rsidR="00E66481">
        <w:rPr>
          <w:lang w:val="en-GB" w:eastAsia="en-US"/>
        </w:rPr>
        <w:t>spect</w:t>
      </w:r>
      <w:r w:rsidR="00E66481" w:rsidRPr="00E66481">
        <w:rPr>
          <w:lang w:val="en-GB" w:eastAsia="en-US"/>
        </w:rPr>
        <w:t>s</w:t>
      </w:r>
    </w:p>
    <w:p w14:paraId="623B953E" w14:textId="77777777" w:rsidR="00E66481" w:rsidRPr="006C01E2" w:rsidRDefault="00E66481" w:rsidP="006C01E2">
      <w:pPr>
        <w:pStyle w:val="B4"/>
        <w:ind w:left="1100" w:hangingChars="550" w:hanging="1100"/>
        <w:jc w:val="both"/>
        <w:rPr>
          <w:b/>
          <w:bCs/>
          <w:iCs/>
          <w:lang w:eastAsia="ko-KR"/>
        </w:rPr>
      </w:pPr>
    </w:p>
    <w:p w14:paraId="45FCCE8E" w14:textId="77777777" w:rsidR="0082113E" w:rsidRDefault="0082113E" w:rsidP="0082113E">
      <w:pPr>
        <w:keepNext/>
        <w:spacing w:line="276" w:lineRule="auto"/>
        <w:ind w:leftChars="1" w:left="2"/>
        <w:jc w:val="center"/>
      </w:pPr>
      <w:r>
        <w:rPr>
          <w:rFonts w:eastAsia="바탕"/>
          <w:noProof/>
          <w:lang w:eastAsia="ko-KR"/>
        </w:rPr>
        <w:lastRenderedPageBreak/>
        <w:drawing>
          <wp:inline distT="0" distB="0" distL="0" distR="0" wp14:anchorId="5EFF0361" wp14:editId="4CFBAF37">
            <wp:extent cx="4694555" cy="14935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4555" cy="1493520"/>
                    </a:xfrm>
                    <a:prstGeom prst="rect">
                      <a:avLst/>
                    </a:prstGeom>
                    <a:noFill/>
                  </pic:spPr>
                </pic:pic>
              </a:graphicData>
            </a:graphic>
          </wp:inline>
        </w:drawing>
      </w:r>
    </w:p>
    <w:p w14:paraId="3A55D505" w14:textId="71543CB8" w:rsidR="0082113E" w:rsidRDefault="0082113E" w:rsidP="0082113E">
      <w:pPr>
        <w:pStyle w:val="aa"/>
        <w:jc w:val="center"/>
        <w:rPr>
          <w:rFonts w:eastAsia="바탕"/>
          <w:lang w:eastAsia="ko-KR"/>
        </w:rPr>
      </w:pPr>
      <w:r>
        <w:t xml:space="preserve">Fig </w:t>
      </w:r>
      <w:fldSimple w:instr=" SEQ Figure \* ARABIC ">
        <w:r>
          <w:rPr>
            <w:noProof/>
          </w:rPr>
          <w:t>2</w:t>
        </w:r>
      </w:fldSimple>
      <w:r>
        <w:t>. Example scenario of subsequent CPC</w:t>
      </w:r>
    </w:p>
    <w:p w14:paraId="7C420E2F" w14:textId="49F72C2F" w:rsidR="00CD7029" w:rsidRDefault="00E32846" w:rsidP="00CD7029">
      <w:pPr>
        <w:spacing w:line="276" w:lineRule="auto"/>
        <w:ind w:leftChars="1" w:left="2"/>
        <w:jc w:val="both"/>
      </w:pPr>
      <w:r>
        <w:rPr>
          <w:rFonts w:eastAsia="바탕"/>
          <w:lang w:eastAsia="ko-KR"/>
        </w:rPr>
        <w:t xml:space="preserve">Regarding the FFS </w:t>
      </w:r>
      <w:r w:rsidR="00EE0932">
        <w:rPr>
          <w:rFonts w:eastAsia="바탕"/>
          <w:lang w:eastAsia="ko-KR"/>
        </w:rPr>
        <w:t>point that how to handle the CP</w:t>
      </w:r>
      <w:r>
        <w:rPr>
          <w:rFonts w:eastAsia="바탕"/>
          <w:lang w:eastAsia="ko-KR"/>
        </w:rPr>
        <w:t>C configuration if PSCell change is</w:t>
      </w:r>
      <w:r>
        <w:t xml:space="preserve"> </w:t>
      </w:r>
      <w:r w:rsidR="00CD7029">
        <w:t xml:space="preserve">conducted or </w:t>
      </w:r>
      <w:r>
        <w:t>indicated by the network</w:t>
      </w:r>
      <w:r>
        <w:rPr>
          <w:rFonts w:eastAsia="바탕" w:hint="eastAsia"/>
          <w:lang w:eastAsia="ko-KR"/>
        </w:rPr>
        <w:t>,</w:t>
      </w:r>
      <w:r w:rsidR="00231170">
        <w:rPr>
          <w:rFonts w:eastAsia="바탕" w:hint="eastAsia"/>
          <w:lang w:eastAsia="ko-KR"/>
        </w:rPr>
        <w:t xml:space="preserve"> </w:t>
      </w:r>
      <w:r>
        <w:rPr>
          <w:rFonts w:eastAsia="바탕"/>
          <w:lang w:eastAsia="ko-KR"/>
        </w:rPr>
        <w:t xml:space="preserve">additionally </w:t>
      </w:r>
      <w:r w:rsidR="00231170">
        <w:rPr>
          <w:rFonts w:eastAsia="바탕"/>
          <w:lang w:eastAsia="ko-KR"/>
        </w:rPr>
        <w:t>h</w:t>
      </w:r>
      <w:r w:rsidR="00231170" w:rsidRPr="00231170">
        <w:rPr>
          <w:rFonts w:eastAsia="바탕"/>
          <w:lang w:eastAsia="ko-KR"/>
        </w:rPr>
        <w:t xml:space="preserve">ow to handle the </w:t>
      </w:r>
      <w:r w:rsidR="0082113E">
        <w:rPr>
          <w:rFonts w:eastAsia="바탕"/>
          <w:lang w:eastAsia="ko-KR"/>
        </w:rPr>
        <w:t xml:space="preserve">CPC and </w:t>
      </w:r>
      <w:r w:rsidR="00231170" w:rsidRPr="00231170">
        <w:rPr>
          <w:rFonts w:eastAsia="바탕"/>
          <w:lang w:eastAsia="ko-KR"/>
        </w:rPr>
        <w:t>S-SN configurations after the subsequent cell group change</w:t>
      </w:r>
      <w:r>
        <w:rPr>
          <w:rFonts w:eastAsia="바탕"/>
          <w:lang w:eastAsia="ko-KR"/>
        </w:rPr>
        <w:t xml:space="preserve"> is also needed.</w:t>
      </w:r>
      <w:r w:rsidR="005E16B2">
        <w:rPr>
          <w:rFonts w:eastAsia="바탕"/>
          <w:lang w:eastAsia="ko-KR"/>
        </w:rPr>
        <w:t xml:space="preserve"> </w:t>
      </w:r>
      <w:r w:rsidR="00CD7029">
        <w:rPr>
          <w:bCs/>
          <w:iCs/>
          <w:lang w:eastAsia="ko-KR"/>
        </w:rPr>
        <w:t>We think that handling for CPC</w:t>
      </w:r>
      <w:r w:rsidR="00CD7029" w:rsidRPr="00CC2250">
        <w:rPr>
          <w:rFonts w:eastAsiaTheme="minorEastAsia"/>
          <w:kern w:val="2"/>
          <w:szCs w:val="22"/>
          <w:lang w:eastAsia="ko-KR"/>
        </w:rPr>
        <w:t xml:space="preserve"> configuration</w:t>
      </w:r>
      <w:r w:rsidR="00CD7029">
        <w:rPr>
          <w:rFonts w:eastAsiaTheme="minorEastAsia"/>
          <w:kern w:val="2"/>
          <w:szCs w:val="22"/>
          <w:lang w:eastAsia="ko-KR"/>
        </w:rPr>
        <w:t xml:space="preserve"> and S-SN configuration</w:t>
      </w:r>
      <w:r w:rsidR="00CD7029">
        <w:rPr>
          <w:bCs/>
          <w:iCs/>
          <w:lang w:eastAsia="ko-KR"/>
        </w:rPr>
        <w:t xml:space="preserve"> is highly related with the SA3 decision wh</w:t>
      </w:r>
      <w:r w:rsidR="005607AA">
        <w:rPr>
          <w:bCs/>
          <w:iCs/>
          <w:lang w:eastAsia="ko-KR"/>
        </w:rPr>
        <w:t>ich RAN2 asked (in R2-2213337 [6</w:t>
      </w:r>
      <w:r w:rsidR="00CD7029">
        <w:rPr>
          <w:bCs/>
          <w:iCs/>
          <w:lang w:eastAsia="ko-KR"/>
        </w:rPr>
        <w:t xml:space="preserve">]) in the RAN2#120 meeting. According </w:t>
      </w:r>
      <w:r w:rsidR="00CD7029">
        <w:rPr>
          <w:rFonts w:hint="eastAsia"/>
          <w:bCs/>
          <w:iCs/>
          <w:lang w:eastAsia="ko-KR"/>
        </w:rPr>
        <w:t xml:space="preserve">to the answers </w:t>
      </w:r>
      <w:r w:rsidR="00CD7029">
        <w:rPr>
          <w:bCs/>
          <w:iCs/>
          <w:lang w:eastAsia="ko-KR"/>
        </w:rPr>
        <w:t xml:space="preserve">regarding </w:t>
      </w:r>
      <w:r w:rsidR="00CD7029" w:rsidRPr="001E4C5E">
        <w:rPr>
          <w:bCs/>
          <w:iCs/>
          <w:lang w:eastAsia="ko-KR"/>
        </w:rPr>
        <w:t xml:space="preserve">the same sk-counter/ S-KgNB is used </w:t>
      </w:r>
      <w:r w:rsidR="00CD7029" w:rsidRPr="00CD7029">
        <w:rPr>
          <w:bCs/>
          <w:iCs/>
          <w:lang w:eastAsia="ko-KR"/>
        </w:rPr>
        <w:t>every</w:t>
      </w:r>
      <w:r w:rsidR="00CD7029">
        <w:rPr>
          <w:bCs/>
          <w:iCs/>
          <w:lang w:eastAsia="ko-KR"/>
        </w:rPr>
        <w:t xml:space="preserve"> time it is connected to </w:t>
      </w:r>
      <w:r w:rsidR="00CD7029" w:rsidRPr="001E4C5E">
        <w:rPr>
          <w:bCs/>
          <w:iCs/>
          <w:lang w:eastAsia="ko-KR"/>
        </w:rPr>
        <w:t xml:space="preserve">SN #1 </w:t>
      </w:r>
      <w:r w:rsidR="00CD7029">
        <w:rPr>
          <w:bCs/>
          <w:iCs/>
          <w:lang w:eastAsia="ko-KR"/>
        </w:rPr>
        <w:t xml:space="preserve">(which UE previously connected) </w:t>
      </w:r>
      <w:r w:rsidR="00CD7029" w:rsidRPr="001E4C5E">
        <w:rPr>
          <w:bCs/>
          <w:iCs/>
          <w:lang w:eastAsia="ko-KR"/>
        </w:rPr>
        <w:t>before and after being connected to SN #2</w:t>
      </w:r>
      <w:r w:rsidR="00CD7029">
        <w:rPr>
          <w:bCs/>
          <w:iCs/>
          <w:lang w:eastAsia="ko-KR"/>
        </w:rPr>
        <w:t>. SA3</w:t>
      </w:r>
      <w:r w:rsidR="005607AA">
        <w:rPr>
          <w:bCs/>
          <w:iCs/>
          <w:lang w:eastAsia="ko-KR"/>
        </w:rPr>
        <w:t xml:space="preserve"> replied following answers in [7</w:t>
      </w:r>
      <w:r w:rsidR="00CD7029">
        <w:rPr>
          <w:bCs/>
          <w:iCs/>
          <w:lang w:eastAsia="ko-KR"/>
        </w:rPr>
        <w:t>]</w:t>
      </w:r>
      <w:r w:rsidR="00CD7029">
        <w:t>.</w:t>
      </w:r>
    </w:p>
    <w:tbl>
      <w:tblPr>
        <w:tblStyle w:val="ab"/>
        <w:tblW w:w="0" w:type="auto"/>
        <w:tblInd w:w="2" w:type="dxa"/>
        <w:tblLook w:val="04A0" w:firstRow="1" w:lastRow="0" w:firstColumn="1" w:lastColumn="0" w:noHBand="0" w:noVBand="1"/>
      </w:tblPr>
      <w:tblGrid>
        <w:gridCol w:w="9015"/>
      </w:tblGrid>
      <w:tr w:rsidR="00CD7029" w14:paraId="6961438C" w14:textId="77777777" w:rsidTr="00CD7029">
        <w:tc>
          <w:tcPr>
            <w:tcW w:w="9017" w:type="dxa"/>
          </w:tcPr>
          <w:p w14:paraId="536945D9" w14:textId="77777777" w:rsidR="00CD7029" w:rsidRPr="00B07764" w:rsidRDefault="00CD7029" w:rsidP="00CD7029">
            <w:pPr>
              <w:overflowPunct/>
              <w:autoSpaceDE/>
              <w:autoSpaceDN/>
              <w:adjustRightInd/>
              <w:ind w:left="360"/>
              <w:jc w:val="both"/>
              <w:textAlignment w:val="auto"/>
              <w:rPr>
                <w:i/>
              </w:rPr>
            </w:pPr>
            <w:r>
              <w:rPr>
                <w:i/>
              </w:rPr>
              <w:t xml:space="preserve">Q1: </w:t>
            </w:r>
            <w:r w:rsidRPr="00B07764">
              <w:rPr>
                <w:i/>
              </w:rPr>
              <w:t>RAN2 would like to know whether SA3 considers the existing handling of sk-counter/ S-K</w:t>
            </w:r>
            <w:r w:rsidRPr="00B07764">
              <w:rPr>
                <w:i/>
                <w:vertAlign w:val="subscript"/>
              </w:rPr>
              <w:t>gNB</w:t>
            </w:r>
            <w:r w:rsidRPr="00B07764">
              <w:rPr>
                <w:i/>
              </w:rPr>
              <w:t xml:space="preserve"> in the above scenarios acceptable, i.e. the same sk-counter/ S-K</w:t>
            </w:r>
            <w:r w:rsidRPr="00B07764">
              <w:rPr>
                <w:i/>
                <w:vertAlign w:val="subscript"/>
              </w:rPr>
              <w:t>gNB</w:t>
            </w:r>
            <w:r w:rsidRPr="00B07764">
              <w:rPr>
                <w:i/>
              </w:rPr>
              <w:t xml:space="preserve"> is used while connected to SN #1 before and after being connected to SN #2.</w:t>
            </w:r>
          </w:p>
          <w:p w14:paraId="08A97691" w14:textId="77777777" w:rsidR="00CD7029" w:rsidRDefault="00CD7029" w:rsidP="00CD7029">
            <w:pPr>
              <w:ind w:left="360"/>
              <w:jc w:val="both"/>
            </w:pPr>
            <w:r w:rsidRPr="00683318">
              <w:rPr>
                <w:b/>
              </w:rPr>
              <w:t xml:space="preserve">SA3 Answer: </w:t>
            </w:r>
            <w:r>
              <w:t>No, it is not acceptable from security point of view</w:t>
            </w:r>
            <w:r w:rsidRPr="00683318">
              <w:t>.</w:t>
            </w:r>
          </w:p>
          <w:p w14:paraId="68365F42" w14:textId="77777777" w:rsidR="00CD7029" w:rsidRPr="00B07764" w:rsidRDefault="00CD7029" w:rsidP="00CD7029">
            <w:pPr>
              <w:overflowPunct/>
              <w:autoSpaceDE/>
              <w:autoSpaceDN/>
              <w:adjustRightInd/>
              <w:ind w:left="360"/>
              <w:jc w:val="both"/>
              <w:textAlignment w:val="auto"/>
              <w:rPr>
                <w:i/>
              </w:rPr>
            </w:pPr>
            <w:r>
              <w:rPr>
                <w:i/>
              </w:rPr>
              <w:t xml:space="preserve">Q2: </w:t>
            </w:r>
            <w:r w:rsidRPr="00B07764">
              <w:rPr>
                <w:i/>
              </w:rPr>
              <w:t>If SA3 considers the existing handling of sk-counter/ S-K</w:t>
            </w:r>
            <w:r w:rsidRPr="00B07764">
              <w:rPr>
                <w:i/>
                <w:vertAlign w:val="subscript"/>
              </w:rPr>
              <w:t>gNB</w:t>
            </w:r>
            <w:r w:rsidRPr="00B07764">
              <w:rPr>
                <w:i/>
              </w:rPr>
              <w:t xml:space="preserve"> in the above scenarios not acceptable, RAN2 kindly asks SA3 to provide requirements for a solution.</w:t>
            </w:r>
          </w:p>
          <w:p w14:paraId="562876C5" w14:textId="2BE41412" w:rsidR="00CD7029" w:rsidRPr="00CD7029" w:rsidRDefault="00CD7029" w:rsidP="00CD7029">
            <w:pPr>
              <w:ind w:left="360"/>
              <w:jc w:val="both"/>
              <w:rPr>
                <w:rFonts w:eastAsia="Yu Mincho"/>
              </w:rPr>
            </w:pPr>
            <w:r w:rsidRPr="00683318">
              <w:rPr>
                <w:b/>
              </w:rPr>
              <w:t>SA3 Answer:</w:t>
            </w:r>
            <w:r>
              <w:rPr>
                <w:b/>
              </w:rPr>
              <w:t xml:space="preserve"> </w:t>
            </w:r>
            <w:r>
              <w:t xml:space="preserve">Same </w:t>
            </w:r>
            <w:r w:rsidRPr="00683318">
              <w:t>S-K</w:t>
            </w:r>
            <w:r w:rsidRPr="00895746">
              <w:rPr>
                <w:vertAlign w:val="subscript"/>
              </w:rPr>
              <w:t>gNB</w:t>
            </w:r>
            <w:r w:rsidRPr="00683318">
              <w:t xml:space="preserve"> shall not be used</w:t>
            </w:r>
            <w:r>
              <w:t>.</w:t>
            </w:r>
            <w:r w:rsidRPr="00683318">
              <w:t xml:space="preserve"> </w:t>
            </w:r>
            <w:r w:rsidRPr="0028580E">
              <w:t xml:space="preserve">SA3 will specify an additional sub-clause in TS 33.501 under </w:t>
            </w:r>
            <w:r>
              <w:t xml:space="preserve">6.10 </w:t>
            </w:r>
            <w:r w:rsidRPr="0028580E">
              <w:t>for the security of selective SCG activation</w:t>
            </w:r>
            <w:r>
              <w:t xml:space="preserve">. </w:t>
            </w:r>
          </w:p>
        </w:tc>
      </w:tr>
    </w:tbl>
    <w:p w14:paraId="4AD8BD25" w14:textId="67E2B2A1" w:rsidR="00CD7029" w:rsidRDefault="00CD7029" w:rsidP="00CD7029">
      <w:pPr>
        <w:spacing w:line="276" w:lineRule="auto"/>
        <w:ind w:leftChars="1" w:left="2"/>
        <w:jc w:val="both"/>
        <w:rPr>
          <w:bCs/>
          <w:iCs/>
          <w:lang w:eastAsia="ko-KR"/>
        </w:rPr>
      </w:pPr>
    </w:p>
    <w:p w14:paraId="7EEBBE40" w14:textId="5480D3B7" w:rsidR="00CD7029" w:rsidRDefault="00CD7029" w:rsidP="00CD7029">
      <w:pPr>
        <w:spacing w:line="276" w:lineRule="auto"/>
        <w:ind w:leftChars="1" w:left="2"/>
        <w:jc w:val="both"/>
      </w:pPr>
      <w:r>
        <w:rPr>
          <w:bCs/>
          <w:iCs/>
          <w:lang w:eastAsia="ko-KR"/>
        </w:rPr>
        <w:t xml:space="preserve">According to the SA’s response, it is not allowed to use </w:t>
      </w:r>
      <w:r w:rsidRPr="00CD7029">
        <w:t>the same sk-counter/ S-K</w:t>
      </w:r>
      <w:r w:rsidRPr="00CD7029">
        <w:rPr>
          <w:vertAlign w:val="subscript"/>
        </w:rPr>
        <w:t>gNB</w:t>
      </w:r>
      <w:r w:rsidRPr="00CD7029">
        <w:t xml:space="preserve"> while connected to SN #1 before and after being connected to SN #2</w:t>
      </w:r>
      <w:r w:rsidR="0026362E">
        <w:t xml:space="preserve"> (see Fig 2)</w:t>
      </w:r>
      <w:r w:rsidRPr="00CD7029">
        <w:t>.</w:t>
      </w:r>
      <w:r>
        <w:t xml:space="preserve"> Therefore, RAN2 need to consider following problems and we provides some candidate solutions for each question.</w:t>
      </w:r>
    </w:p>
    <w:p w14:paraId="48B54D3E" w14:textId="683D8C5A" w:rsidR="00CD7029" w:rsidRPr="006F6664" w:rsidRDefault="00CD7029" w:rsidP="0026362E">
      <w:pPr>
        <w:widowControl w:val="0"/>
        <w:spacing w:after="160" w:line="259" w:lineRule="auto"/>
        <w:jc w:val="both"/>
        <w:rPr>
          <w:b/>
        </w:rPr>
      </w:pPr>
      <w:r w:rsidRPr="006F6664">
        <w:rPr>
          <w:b/>
        </w:rPr>
        <w:t>Q: How to handle the CPC condition/configuration for the executed PSCell</w:t>
      </w:r>
    </w:p>
    <w:p w14:paraId="7DBA95CD" w14:textId="3005C243" w:rsidR="00CD7029" w:rsidRDefault="00CD7029" w:rsidP="0026362E">
      <w:pPr>
        <w:pStyle w:val="af0"/>
        <w:widowControl w:val="0"/>
        <w:numPr>
          <w:ilvl w:val="0"/>
          <w:numId w:val="38"/>
        </w:numPr>
        <w:autoSpaceDE w:val="0"/>
        <w:autoSpaceDN w:val="0"/>
        <w:snapToGrid/>
        <w:spacing w:after="160" w:line="259" w:lineRule="auto"/>
        <w:ind w:firstLineChars="0"/>
        <w:jc w:val="both"/>
        <w:rPr>
          <w:rFonts w:ascii="Times New Roman" w:hAnsi="Times New Roman"/>
          <w:sz w:val="20"/>
        </w:rPr>
      </w:pPr>
      <w:r>
        <w:rPr>
          <w:rFonts w:ascii="Times New Roman" w:hAnsi="Times New Roman"/>
          <w:sz w:val="20"/>
        </w:rPr>
        <w:t xml:space="preserve">Alt 1: </w:t>
      </w:r>
      <w:r w:rsidRPr="00CD7029">
        <w:rPr>
          <w:rFonts w:ascii="Times New Roman" w:hAnsi="Times New Roman"/>
          <w:sz w:val="20"/>
        </w:rPr>
        <w:t xml:space="preserve">Remove the executed </w:t>
      </w:r>
      <w:r>
        <w:rPr>
          <w:rFonts w:ascii="Times New Roman" w:hAnsi="Times New Roman"/>
          <w:sz w:val="20"/>
        </w:rPr>
        <w:t>CPC</w:t>
      </w:r>
      <w:r w:rsidRPr="00CD7029">
        <w:rPr>
          <w:rFonts w:ascii="Times New Roman" w:hAnsi="Times New Roman"/>
          <w:sz w:val="20"/>
        </w:rPr>
        <w:t xml:space="preserve"> configurations in the </w:t>
      </w:r>
      <w:r>
        <w:rPr>
          <w:rFonts w:ascii="Times New Roman" w:hAnsi="Times New Roman"/>
          <w:sz w:val="20"/>
        </w:rPr>
        <w:t xml:space="preserve">stored </w:t>
      </w:r>
      <w:r w:rsidRPr="00CD7029">
        <w:rPr>
          <w:rFonts w:ascii="Times New Roman" w:hAnsi="Times New Roman"/>
          <w:sz w:val="20"/>
        </w:rPr>
        <w:t>candidate CPC configurations</w:t>
      </w:r>
      <w:r w:rsidR="0026362E">
        <w:rPr>
          <w:rFonts w:ascii="Times New Roman" w:hAnsi="Times New Roman"/>
          <w:sz w:val="20"/>
        </w:rPr>
        <w:t xml:space="preserve"> (o</w:t>
      </w:r>
      <w:r w:rsidR="0026362E" w:rsidRPr="0026362E">
        <w:rPr>
          <w:rFonts w:ascii="Times New Roman" w:hAnsi="Times New Roman"/>
          <w:sz w:val="20"/>
        </w:rPr>
        <w:t>r if S-KgNB is per SN not a cell, then all the SN originated PSCells are removed</w:t>
      </w:r>
      <w:r w:rsidR="0026362E">
        <w:rPr>
          <w:rFonts w:ascii="Times New Roman" w:hAnsi="Times New Roman"/>
          <w:sz w:val="20"/>
        </w:rPr>
        <w:t>)</w:t>
      </w:r>
    </w:p>
    <w:p w14:paraId="215230A9" w14:textId="77777777" w:rsidR="00DC0B37" w:rsidRPr="0026362E" w:rsidRDefault="00214CBE" w:rsidP="0026362E">
      <w:pPr>
        <w:pStyle w:val="af0"/>
        <w:widowControl w:val="0"/>
        <w:numPr>
          <w:ilvl w:val="1"/>
          <w:numId w:val="38"/>
        </w:numPr>
        <w:autoSpaceDE w:val="0"/>
        <w:autoSpaceDN w:val="0"/>
        <w:snapToGrid/>
        <w:spacing w:after="160" w:line="259" w:lineRule="auto"/>
        <w:ind w:firstLineChars="0"/>
        <w:jc w:val="both"/>
        <w:rPr>
          <w:rFonts w:ascii="Times New Roman" w:hAnsi="Times New Roman"/>
          <w:sz w:val="20"/>
        </w:rPr>
      </w:pPr>
      <w:r w:rsidRPr="00214CBE">
        <w:rPr>
          <w:rFonts w:ascii="Times New Roman" w:hAnsi="Times New Roman"/>
          <w:sz w:val="20"/>
        </w:rPr>
        <w:t>When sk-counter is configured to the candidate PSCells, it should be different between PSCel</w:t>
      </w:r>
      <w:r>
        <w:rPr>
          <w:rFonts w:ascii="Times New Roman" w:hAnsi="Times New Roman"/>
          <w:sz w:val="20"/>
        </w:rPr>
        <w:t>ls e</w:t>
      </w:r>
      <w:r w:rsidR="0026362E">
        <w:rPr>
          <w:rFonts w:ascii="Times New Roman" w:hAnsi="Times New Roman"/>
          <w:sz w:val="20"/>
        </w:rPr>
        <w:t xml:space="preserve">ven they are in the same SN. </w:t>
      </w:r>
      <w:r w:rsidR="007941A2" w:rsidRPr="0026362E">
        <w:rPr>
          <w:rFonts w:ascii="Times New Roman" w:hAnsi="Times New Roman"/>
          <w:sz w:val="20"/>
        </w:rPr>
        <w:t>This prevent the used sk-counter is reused in the subsequent PSCell changes, this also prevent UE from revisiting PSCells that once UE visited before.</w:t>
      </w:r>
    </w:p>
    <w:p w14:paraId="0F468778" w14:textId="1A30D76B" w:rsidR="00214CBE" w:rsidRPr="0026362E" w:rsidRDefault="0026362E" w:rsidP="0026362E">
      <w:pPr>
        <w:pStyle w:val="af0"/>
        <w:widowControl w:val="0"/>
        <w:numPr>
          <w:ilvl w:val="0"/>
          <w:numId w:val="38"/>
        </w:numPr>
        <w:autoSpaceDE w:val="0"/>
        <w:autoSpaceDN w:val="0"/>
        <w:snapToGrid/>
        <w:spacing w:after="160" w:line="259" w:lineRule="auto"/>
        <w:ind w:firstLineChars="0"/>
        <w:jc w:val="both"/>
        <w:rPr>
          <w:rFonts w:ascii="Times New Roman" w:hAnsi="Times New Roman"/>
          <w:sz w:val="20"/>
        </w:rPr>
      </w:pPr>
      <w:r>
        <w:rPr>
          <w:rFonts w:ascii="Times New Roman" w:hAnsi="Times New Roman"/>
          <w:sz w:val="20"/>
        </w:rPr>
        <w:t xml:space="preserve">Alt </w:t>
      </w:r>
      <w:r w:rsidR="00484403">
        <w:rPr>
          <w:rFonts w:ascii="Times New Roman" w:hAnsi="Times New Roman"/>
          <w:sz w:val="20"/>
        </w:rPr>
        <w:t>2</w:t>
      </w:r>
      <w:r>
        <w:rPr>
          <w:rFonts w:ascii="Times New Roman" w:hAnsi="Times New Roman"/>
          <w:sz w:val="20"/>
        </w:rPr>
        <w:t xml:space="preserve">: </w:t>
      </w:r>
      <w:r w:rsidRPr="0026362E">
        <w:rPr>
          <w:rFonts w:ascii="Times New Roman" w:hAnsi="Times New Roman"/>
          <w:sz w:val="20"/>
        </w:rPr>
        <w:t>Keep the executed conditional PSCell configurations as the candidate CPC configuration</w:t>
      </w:r>
    </w:p>
    <w:p w14:paraId="0D8D7ABD" w14:textId="5B1E0EFD" w:rsidR="0026362E" w:rsidRDefault="0026362E" w:rsidP="0026362E">
      <w:pPr>
        <w:widowControl w:val="0"/>
        <w:spacing w:after="160" w:line="259" w:lineRule="auto"/>
        <w:jc w:val="both"/>
      </w:pPr>
    </w:p>
    <w:p w14:paraId="45C83BB5" w14:textId="1FAE045B" w:rsidR="0026362E" w:rsidRDefault="0026362E" w:rsidP="0026362E">
      <w:pPr>
        <w:widowControl w:val="0"/>
        <w:spacing w:after="160" w:line="259" w:lineRule="auto"/>
        <w:jc w:val="both"/>
      </w:pPr>
      <w:r>
        <w:t xml:space="preserve">If we go to the Alt 1-1, the specification impacts are not huge i.e. add UE procedure to remove the stored CPC configuration whenever UE execute the CPC but it is not </w:t>
      </w:r>
      <w:r w:rsidR="006F6664">
        <w:t xml:space="preserve">exactly what </w:t>
      </w:r>
      <w:r>
        <w:t>RAN2 intended</w:t>
      </w:r>
      <w:r w:rsidR="006F6664">
        <w:t xml:space="preserve"> in this WI, Rel-18 feMOB has to</w:t>
      </w:r>
      <w:r>
        <w:t xml:space="preserve"> support</w:t>
      </w:r>
      <w:r w:rsidR="006F6664">
        <w:t xml:space="preserve"> following scenario based on WID:</w:t>
      </w:r>
    </w:p>
    <w:p w14:paraId="2B31D8C7" w14:textId="74A475A2" w:rsidR="0026362E" w:rsidRDefault="00547B32" w:rsidP="00547B32">
      <w:pPr>
        <w:pStyle w:val="af0"/>
        <w:widowControl w:val="0"/>
        <w:numPr>
          <w:ilvl w:val="0"/>
          <w:numId w:val="30"/>
        </w:numPr>
        <w:spacing w:after="160" w:line="259" w:lineRule="auto"/>
        <w:ind w:left="782" w:firstLineChars="0" w:hanging="357"/>
        <w:jc w:val="both"/>
        <w:rPr>
          <w:rFonts w:ascii="Times New Roman" w:hAnsi="Times New Roman"/>
          <w:sz w:val="20"/>
        </w:rPr>
      </w:pPr>
      <w:r w:rsidRPr="00547B32">
        <w:rPr>
          <w:rFonts w:ascii="Times New Roman" w:hAnsi="Times New Roman"/>
          <w:sz w:val="20"/>
        </w:rPr>
        <w:t xml:space="preserve">UE remains connected to the </w:t>
      </w:r>
      <w:r>
        <w:rPr>
          <w:rFonts w:ascii="Times New Roman" w:hAnsi="Times New Roman"/>
          <w:sz w:val="20"/>
        </w:rPr>
        <w:t>s</w:t>
      </w:r>
      <w:r w:rsidR="0026362E" w:rsidRPr="00547B32">
        <w:rPr>
          <w:rFonts w:ascii="Times New Roman" w:hAnsi="Times New Roman"/>
          <w:sz w:val="20"/>
        </w:rPr>
        <w:t>ame PCell and is configured with several conditional reconfigurations (a conditional reconfiguration is an RRC reconfiguration message, possibly including sk-counter), each with a different candidate target PSCell, and, based on conditions on measurement results on candidate target PSCells, the UE selects and executes one of these conditional reconfigurations, thus changing PSCell.</w:t>
      </w:r>
    </w:p>
    <w:p w14:paraId="6441BA6A" w14:textId="6ACF0267" w:rsidR="00547B32" w:rsidRPr="00547B32" w:rsidRDefault="00547B32" w:rsidP="00547B32">
      <w:pPr>
        <w:pStyle w:val="af0"/>
        <w:widowControl w:val="0"/>
        <w:numPr>
          <w:ilvl w:val="0"/>
          <w:numId w:val="30"/>
        </w:numPr>
        <w:spacing w:after="160" w:line="259" w:lineRule="auto"/>
        <w:ind w:firstLineChars="0"/>
        <w:jc w:val="both"/>
        <w:rPr>
          <w:rFonts w:ascii="Times New Roman" w:hAnsi="Times New Roman"/>
          <w:sz w:val="20"/>
        </w:rPr>
      </w:pPr>
      <w:r w:rsidRPr="00547B32">
        <w:rPr>
          <w:rFonts w:ascii="Times New Roman" w:hAnsi="Times New Roman"/>
          <w:sz w:val="20"/>
        </w:rPr>
        <w:lastRenderedPageBreak/>
        <w:t>After executing a conditional reconfiguration, the UE may keep conditional reconfigurations to the other candidate target PSCells and continue switching between the candidate target PSCells multiple times, including to an earlier selected PSCell. All of this happens without any reconfiguration by the network (i.e. using the stored conditional reconfigurations).</w:t>
      </w:r>
    </w:p>
    <w:p w14:paraId="6E611498" w14:textId="4FC8DB50" w:rsidR="00CD7029" w:rsidRPr="0026362E" w:rsidRDefault="00547B32" w:rsidP="0026362E">
      <w:pPr>
        <w:widowControl w:val="0"/>
        <w:spacing w:after="160" w:line="259" w:lineRule="auto"/>
        <w:jc w:val="both"/>
      </w:pPr>
      <w:r>
        <w:t>So, RAN2 need solve this security problem to support the intended operation on subsequent CPC i.e. h</w:t>
      </w:r>
      <w:r w:rsidR="00CD7029" w:rsidRPr="0026362E">
        <w:t>ow to configure the sk-counter S-KgNB for the candidate PSCell for CPC to support subsequent CPC</w:t>
      </w:r>
      <w:r>
        <w:t>.</w:t>
      </w:r>
    </w:p>
    <w:p w14:paraId="570DD51B" w14:textId="2D8D7A55" w:rsidR="00CD7029" w:rsidRDefault="00484403" w:rsidP="0026362E">
      <w:pPr>
        <w:spacing w:line="276" w:lineRule="auto"/>
        <w:ind w:leftChars="1" w:left="2"/>
        <w:jc w:val="both"/>
        <w:rPr>
          <w:bCs/>
          <w:iCs/>
          <w:lang w:eastAsia="ko-KR"/>
        </w:rPr>
      </w:pPr>
      <w:r>
        <w:rPr>
          <w:rFonts w:hint="eastAsia"/>
          <w:bCs/>
          <w:iCs/>
          <w:lang w:eastAsia="ko-KR"/>
        </w:rPr>
        <w:t xml:space="preserve">We think there are some candidate solution to solve </w:t>
      </w:r>
      <w:r>
        <w:rPr>
          <w:bCs/>
          <w:iCs/>
          <w:lang w:eastAsia="ko-KR"/>
        </w:rPr>
        <w:t>h</w:t>
      </w:r>
      <w:r w:rsidRPr="00484403">
        <w:rPr>
          <w:bCs/>
          <w:iCs/>
          <w:lang w:eastAsia="ko-KR"/>
        </w:rPr>
        <w:t>ow to configure the sk-counter/ S-KgNB for the candidate PSCell to support subsequent CPC</w:t>
      </w:r>
      <w:r>
        <w:rPr>
          <w:bCs/>
          <w:iCs/>
          <w:lang w:eastAsia="ko-KR"/>
        </w:rPr>
        <w:t>. A</w:t>
      </w:r>
      <w:r>
        <w:rPr>
          <w:rFonts w:hint="eastAsia"/>
          <w:bCs/>
          <w:iCs/>
          <w:lang w:eastAsia="ko-KR"/>
        </w:rPr>
        <w:t>ll candidate options should be consulted by SA3.</w:t>
      </w:r>
    </w:p>
    <w:p w14:paraId="078CEE34" w14:textId="3668DDCB" w:rsidR="00DC0B37" w:rsidRDefault="00484403" w:rsidP="00484403">
      <w:pPr>
        <w:pStyle w:val="af0"/>
        <w:numPr>
          <w:ilvl w:val="0"/>
          <w:numId w:val="42"/>
        </w:numPr>
        <w:spacing w:line="276" w:lineRule="auto"/>
        <w:ind w:firstLineChars="0"/>
        <w:jc w:val="both"/>
        <w:rPr>
          <w:rFonts w:ascii="Times New Roman" w:hAnsi="Times New Roman"/>
          <w:sz w:val="20"/>
        </w:rPr>
      </w:pPr>
      <w:r w:rsidRPr="00484403">
        <w:rPr>
          <w:rFonts w:ascii="Times New Roman" w:hAnsi="Times New Roman"/>
          <w:sz w:val="20"/>
        </w:rPr>
        <w:t>Option 1</w:t>
      </w:r>
      <w:r>
        <w:rPr>
          <w:rFonts w:ascii="Times New Roman" w:hAnsi="Times New Roman"/>
          <w:sz w:val="20"/>
        </w:rPr>
        <w:t xml:space="preserve">: </w:t>
      </w:r>
      <w:r w:rsidR="007941A2" w:rsidRPr="00484403">
        <w:rPr>
          <w:rFonts w:ascii="Times New Roman" w:hAnsi="Times New Roman"/>
          <w:sz w:val="20"/>
        </w:rPr>
        <w:t xml:space="preserve">Introduce the multiple sk-counter/ S-KgNB for the subsequent CPC per SN </w:t>
      </w:r>
      <w:r>
        <w:rPr>
          <w:rFonts w:ascii="Times New Roman" w:hAnsi="Times New Roman"/>
          <w:sz w:val="20"/>
        </w:rPr>
        <w:t>(</w:t>
      </w:r>
      <w:r w:rsidR="007941A2" w:rsidRPr="00484403">
        <w:rPr>
          <w:rFonts w:ascii="Times New Roman" w:hAnsi="Times New Roman"/>
          <w:sz w:val="20"/>
        </w:rPr>
        <w:t>or per candidate PSCell</w:t>
      </w:r>
      <w:r>
        <w:rPr>
          <w:rFonts w:ascii="Times New Roman" w:hAnsi="Times New Roman"/>
          <w:sz w:val="20"/>
        </w:rPr>
        <w:t>)</w:t>
      </w:r>
    </w:p>
    <w:p w14:paraId="3CF9867D" w14:textId="5676F971" w:rsidR="00484403" w:rsidRPr="00484403" w:rsidRDefault="00484403" w:rsidP="00484403">
      <w:pPr>
        <w:pStyle w:val="af0"/>
        <w:numPr>
          <w:ilvl w:val="0"/>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MN and SN decide the multiple security keys which will be used for subsequent CPC i.e. MN provides the multiple S-KgNB to SN (or a candidate PSCell)</w:t>
      </w:r>
      <w:r>
        <w:rPr>
          <w:rFonts w:ascii="Times New Roman" w:eastAsiaTheme="minorEastAsia" w:hAnsi="Times New Roman"/>
          <w:sz w:val="20"/>
          <w:lang w:eastAsia="ko-KR"/>
        </w:rPr>
        <w:t>.</w:t>
      </w:r>
    </w:p>
    <w:p w14:paraId="70118764" w14:textId="2FC44C39" w:rsidR="00484403" w:rsidRDefault="00484403" w:rsidP="0029394E">
      <w:pPr>
        <w:pStyle w:val="af0"/>
        <w:numPr>
          <w:ilvl w:val="0"/>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In CPC configuration, UE receives the list of sk-counter (e.g. sk-counterList = {sk-counter #1, sk-counter #2, … sk-counter #N}) which was made by above MN-SN procedure.</w:t>
      </w:r>
    </w:p>
    <w:p w14:paraId="18AD02A6" w14:textId="76F7A6DA" w:rsidR="00484403" w:rsidRDefault="00484403" w:rsidP="0029394E">
      <w:pPr>
        <w:pStyle w:val="af0"/>
        <w:numPr>
          <w:ilvl w:val="0"/>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 xml:space="preserve">UE and NW should know how many times this CPC is </w:t>
      </w:r>
      <w:r>
        <w:rPr>
          <w:rFonts w:ascii="Times New Roman" w:eastAsiaTheme="minorEastAsia" w:hAnsi="Times New Roman"/>
          <w:sz w:val="20"/>
          <w:lang w:eastAsia="ko-KR"/>
        </w:rPr>
        <w:t xml:space="preserve">executed to the same PSCell </w:t>
      </w:r>
      <w:r w:rsidRPr="00484403">
        <w:rPr>
          <w:rFonts w:ascii="Times New Roman" w:eastAsiaTheme="minorEastAsia" w:hAnsi="Times New Roman"/>
          <w:sz w:val="20"/>
          <w:lang w:eastAsia="ko-KR"/>
        </w:rPr>
        <w:t>or SN</w:t>
      </w:r>
      <w:r>
        <w:rPr>
          <w:rFonts w:ascii="Times New Roman" w:eastAsiaTheme="minorEastAsia" w:hAnsi="Times New Roman"/>
          <w:sz w:val="20"/>
          <w:lang w:eastAsia="ko-KR"/>
        </w:rPr>
        <w:t>.</w:t>
      </w:r>
    </w:p>
    <w:p w14:paraId="15C8E146" w14:textId="118781F1" w:rsidR="00484403" w:rsidRPr="00484403" w:rsidRDefault="00484403" w:rsidP="006232E8">
      <w:pPr>
        <w:pStyle w:val="af0"/>
        <w:numPr>
          <w:ilvl w:val="1"/>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UE and NW store the information for the number of CPC execution to the same PSCell or SN. (e.g. association between UE and PSCell which CPC is performed)</w:t>
      </w:r>
    </w:p>
    <w:p w14:paraId="2B01B3FE" w14:textId="1690A710" w:rsidR="00484403" w:rsidRDefault="00484403" w:rsidP="00484403">
      <w:pPr>
        <w:pStyle w:val="af0"/>
        <w:numPr>
          <w:ilvl w:val="0"/>
          <w:numId w:val="42"/>
        </w:numPr>
        <w:spacing w:line="276" w:lineRule="auto"/>
        <w:ind w:firstLineChars="0"/>
        <w:jc w:val="both"/>
        <w:rPr>
          <w:rFonts w:ascii="Times New Roman" w:hAnsi="Times New Roman"/>
          <w:bCs/>
          <w:iCs/>
          <w:sz w:val="20"/>
          <w:lang w:eastAsia="ko-KR"/>
        </w:rPr>
      </w:pPr>
      <w:r w:rsidRPr="00484403">
        <w:rPr>
          <w:rFonts w:ascii="Times New Roman" w:hAnsi="Times New Roman"/>
          <w:sz w:val="20"/>
        </w:rPr>
        <w:t xml:space="preserve">Option </w:t>
      </w:r>
      <w:r>
        <w:rPr>
          <w:rFonts w:ascii="Times New Roman" w:hAnsi="Times New Roman"/>
          <w:sz w:val="20"/>
        </w:rPr>
        <w:t xml:space="preserve">2: </w:t>
      </w:r>
      <w:r w:rsidRPr="00484403">
        <w:rPr>
          <w:rFonts w:ascii="Times New Roman" w:hAnsi="Times New Roman"/>
          <w:bCs/>
          <w:iCs/>
          <w:sz w:val="20"/>
          <w:lang w:eastAsia="ko-KR"/>
        </w:rPr>
        <w:t>Use a sk-counter/ S-KgNB for the subsequent CPC as legacy but introduce the new rule to increment the sk-counter</w:t>
      </w:r>
      <w:r>
        <w:rPr>
          <w:rFonts w:ascii="Times New Roman" w:hAnsi="Times New Roman"/>
          <w:bCs/>
          <w:iCs/>
          <w:sz w:val="20"/>
          <w:lang w:eastAsia="ko-KR"/>
        </w:rPr>
        <w:t xml:space="preserve"> to create the multiple </w:t>
      </w:r>
      <w:r w:rsidRPr="00484403">
        <w:rPr>
          <w:rFonts w:ascii="Times New Roman" w:hAnsi="Times New Roman"/>
          <w:bCs/>
          <w:iCs/>
          <w:sz w:val="20"/>
          <w:lang w:eastAsia="ko-KR"/>
        </w:rPr>
        <w:t>S-KgNB</w:t>
      </w:r>
      <w:r>
        <w:rPr>
          <w:rFonts w:ascii="Times New Roman" w:hAnsi="Times New Roman"/>
          <w:bCs/>
          <w:iCs/>
          <w:sz w:val="20"/>
          <w:lang w:eastAsia="ko-KR"/>
        </w:rPr>
        <w:t xml:space="preserve"> which will be used in same SN after subsequent CPC.</w:t>
      </w:r>
    </w:p>
    <w:p w14:paraId="4C6D43A0" w14:textId="3470F0C4" w:rsidR="00484403" w:rsidRPr="00484403" w:rsidRDefault="00484403" w:rsidP="00484403">
      <w:pPr>
        <w:pStyle w:val="af0"/>
        <w:numPr>
          <w:ilvl w:val="0"/>
          <w:numId w:val="32"/>
        </w:numPr>
        <w:spacing w:line="276" w:lineRule="auto"/>
        <w:ind w:firstLineChars="0"/>
        <w:jc w:val="both"/>
        <w:rPr>
          <w:rFonts w:ascii="Times New Roman" w:hAnsi="Times New Roman"/>
          <w:bCs/>
          <w:iCs/>
          <w:sz w:val="20"/>
          <w:lang w:eastAsia="ko-KR"/>
        </w:rPr>
      </w:pPr>
      <w:r w:rsidRPr="00484403">
        <w:rPr>
          <w:rFonts w:ascii="Times New Roman" w:hAnsi="Times New Roman"/>
          <w:bCs/>
          <w:iCs/>
          <w:sz w:val="20"/>
          <w:lang w:eastAsia="ko-KR"/>
        </w:rPr>
        <w:t xml:space="preserve">Whenever the </w:t>
      </w:r>
      <w:r>
        <w:rPr>
          <w:rFonts w:ascii="Times New Roman" w:hAnsi="Times New Roman"/>
          <w:bCs/>
          <w:iCs/>
          <w:sz w:val="20"/>
          <w:lang w:eastAsia="ko-KR"/>
        </w:rPr>
        <w:t xml:space="preserve">CPC to a </w:t>
      </w:r>
      <w:r w:rsidRPr="00484403">
        <w:rPr>
          <w:rFonts w:ascii="Times New Roman" w:hAnsi="Times New Roman"/>
          <w:bCs/>
          <w:iCs/>
          <w:sz w:val="20"/>
          <w:lang w:eastAsia="ko-KR"/>
        </w:rPr>
        <w:t xml:space="preserve">same PSCell </w:t>
      </w:r>
      <w:r>
        <w:rPr>
          <w:rFonts w:ascii="Times New Roman" w:hAnsi="Times New Roman"/>
          <w:bCs/>
          <w:iCs/>
          <w:sz w:val="20"/>
          <w:lang w:eastAsia="ko-KR"/>
        </w:rPr>
        <w:t>(or SN) is conducted</w:t>
      </w:r>
      <w:r w:rsidRPr="00484403">
        <w:rPr>
          <w:rFonts w:ascii="Times New Roman" w:hAnsi="Times New Roman"/>
          <w:bCs/>
          <w:iCs/>
          <w:sz w:val="20"/>
          <w:lang w:eastAsia="ko-KR"/>
        </w:rPr>
        <w:t xml:space="preserve">, apply sk-counter +1 (or new rule for the increment). </w:t>
      </w:r>
    </w:p>
    <w:p w14:paraId="550DE38A" w14:textId="77777777" w:rsidR="00484403" w:rsidRPr="00484403" w:rsidRDefault="00484403" w:rsidP="00484403">
      <w:pPr>
        <w:pStyle w:val="af0"/>
        <w:numPr>
          <w:ilvl w:val="1"/>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When sk-counter is configured to the candidate PSCells, it should be different between PSCells even they are in the same SN.</w:t>
      </w:r>
    </w:p>
    <w:p w14:paraId="318DA3A1" w14:textId="510E9300" w:rsidR="00484403" w:rsidRDefault="00484403" w:rsidP="00484403">
      <w:pPr>
        <w:pStyle w:val="af0"/>
        <w:numPr>
          <w:ilvl w:val="0"/>
          <w:numId w:val="32"/>
        </w:numPr>
        <w:spacing w:line="276" w:lineRule="auto"/>
        <w:ind w:firstLineChars="0"/>
        <w:jc w:val="both"/>
        <w:rPr>
          <w:rFonts w:ascii="Times New Roman" w:hAnsi="Times New Roman"/>
          <w:bCs/>
          <w:iCs/>
          <w:sz w:val="20"/>
          <w:lang w:eastAsia="ko-KR"/>
        </w:rPr>
      </w:pPr>
      <w:r w:rsidRPr="00484403">
        <w:rPr>
          <w:rFonts w:ascii="Times New Roman" w:hAnsi="Times New Roman"/>
          <w:bCs/>
          <w:iCs/>
          <w:sz w:val="20"/>
          <w:lang w:eastAsia="ko-KR"/>
        </w:rPr>
        <w:t>UE and NW should know how many times this CPC is executed to the same PSCell and/or SN</w:t>
      </w:r>
    </w:p>
    <w:p w14:paraId="372A377A" w14:textId="35A3F8B4" w:rsidR="00484403" w:rsidRDefault="00484403" w:rsidP="00484403">
      <w:pPr>
        <w:spacing w:line="276" w:lineRule="auto"/>
        <w:jc w:val="both"/>
        <w:rPr>
          <w:bCs/>
          <w:iCs/>
          <w:lang w:eastAsia="ko-KR"/>
        </w:rPr>
      </w:pPr>
      <w:r>
        <w:rPr>
          <w:rFonts w:hint="eastAsia"/>
          <w:bCs/>
          <w:iCs/>
          <w:lang w:eastAsia="ko-KR"/>
        </w:rPr>
        <w:t>From our understanding, above candidate options are valid and those can be easily support from RAN2 perspective</w:t>
      </w:r>
      <w:r>
        <w:rPr>
          <w:bCs/>
          <w:iCs/>
          <w:lang w:eastAsia="ko-KR"/>
        </w:rPr>
        <w:t xml:space="preserve"> (signaling and procedure). However, it requires the changes of the SA3 specification and all security related procedures are needed to be consulted by SA3.</w:t>
      </w:r>
    </w:p>
    <w:p w14:paraId="0059EB9E" w14:textId="04754439" w:rsidR="00B52D76" w:rsidRPr="00C1409A" w:rsidRDefault="00C1409A" w:rsidP="00C1409A">
      <w:pPr>
        <w:pStyle w:val="B4"/>
        <w:ind w:left="1100" w:hangingChars="550" w:hanging="1100"/>
        <w:jc w:val="both"/>
        <w:rPr>
          <w:b/>
          <w:bCs/>
          <w:iCs/>
          <w:lang w:eastAsia="ko-KR"/>
        </w:rPr>
      </w:pPr>
      <w:r>
        <w:rPr>
          <w:b/>
          <w:bCs/>
          <w:iCs/>
          <w:lang w:eastAsia="ko-KR"/>
        </w:rPr>
        <w:t>Proposal 3</w:t>
      </w:r>
      <w:r w:rsidR="00484403" w:rsidRPr="006C01E2">
        <w:rPr>
          <w:b/>
          <w:bCs/>
          <w:iCs/>
          <w:lang w:eastAsia="ko-KR"/>
        </w:rPr>
        <w:t xml:space="preserve">: </w:t>
      </w:r>
      <w:r w:rsidR="00484403">
        <w:rPr>
          <w:b/>
          <w:bCs/>
          <w:iCs/>
          <w:lang w:eastAsia="ko-KR"/>
        </w:rPr>
        <w:t xml:space="preserve">RAN2 ask to SA3 if </w:t>
      </w:r>
      <w:r w:rsidR="00484403" w:rsidRPr="00484403">
        <w:rPr>
          <w:b/>
          <w:bCs/>
          <w:iCs/>
          <w:lang w:eastAsia="ko-KR"/>
        </w:rPr>
        <w:t>the multiple sk-counter/ S-KgNB for the subsequent CPC per SN (or per candidate PSCell)</w:t>
      </w:r>
      <w:r w:rsidR="00C25235">
        <w:rPr>
          <w:b/>
          <w:bCs/>
          <w:iCs/>
          <w:lang w:eastAsia="ko-KR"/>
        </w:rPr>
        <w:t xml:space="preserve"> is valid.</w:t>
      </w:r>
    </w:p>
    <w:p w14:paraId="14A5137C" w14:textId="0D6DF39B" w:rsidR="00E66481" w:rsidRPr="00B85810" w:rsidRDefault="00E66481" w:rsidP="00E66481">
      <w:pPr>
        <w:pStyle w:val="2"/>
        <w:tabs>
          <w:tab w:val="clear" w:pos="3270"/>
        </w:tabs>
        <w:ind w:left="426" w:hanging="284"/>
        <w:rPr>
          <w:lang w:val="en-GB" w:eastAsia="en-US"/>
        </w:rPr>
      </w:pPr>
      <w:r>
        <w:rPr>
          <w:rFonts w:eastAsia="바탕"/>
          <w:lang w:eastAsia="ko-KR"/>
        </w:rPr>
        <w:t>A</w:t>
      </w:r>
      <w:r w:rsidR="006F6664">
        <w:rPr>
          <w:rFonts w:eastAsia="바탕"/>
          <w:lang w:eastAsia="ko-KR"/>
        </w:rPr>
        <w:t>dditional I</w:t>
      </w:r>
      <w:r w:rsidRPr="00DE4006">
        <w:rPr>
          <w:rFonts w:eastAsia="바탕"/>
          <w:lang w:eastAsia="ko-KR"/>
        </w:rPr>
        <w:t>nformation between MN and SNs</w:t>
      </w:r>
    </w:p>
    <w:p w14:paraId="14B0C5F2" w14:textId="41723716" w:rsidR="004D03A4" w:rsidRDefault="004D03A4" w:rsidP="004D03A4">
      <w:pPr>
        <w:spacing w:line="276" w:lineRule="auto"/>
        <w:ind w:leftChars="1" w:left="2"/>
        <w:jc w:val="both"/>
        <w:rPr>
          <w:rFonts w:eastAsia="바탕"/>
          <w:lang w:eastAsia="ko-KR"/>
        </w:rPr>
      </w:pPr>
      <w:r w:rsidRPr="00DE4006">
        <w:rPr>
          <w:rFonts w:eastAsia="바탕"/>
          <w:lang w:eastAsia="ko-KR"/>
        </w:rPr>
        <w:t xml:space="preserve">As a RAN2/RAN3 impact, we think the additional information between MN and SNs are required to negotiate the support of </w:t>
      </w:r>
      <w:r w:rsidRPr="004B6B2E">
        <w:rPr>
          <w:rFonts w:eastAsia="바탕"/>
          <w:lang w:eastAsia="ko-KR"/>
        </w:rPr>
        <w:t xml:space="preserve">subsequent CPAC after SCG change </w:t>
      </w:r>
      <w:r>
        <w:rPr>
          <w:rFonts w:eastAsia="바탕"/>
          <w:lang w:eastAsia="ko-KR"/>
        </w:rPr>
        <w:t>using inter-node RRC message and/or Xn message.</w:t>
      </w:r>
    </w:p>
    <w:p w14:paraId="5CA69B92" w14:textId="68C1612F" w:rsidR="004D03A4" w:rsidRDefault="004D03A4" w:rsidP="004D03A4">
      <w:pPr>
        <w:pStyle w:val="B4"/>
        <w:ind w:left="1100" w:hangingChars="550" w:hanging="1100"/>
        <w:jc w:val="both"/>
        <w:rPr>
          <w:b/>
          <w:bCs/>
          <w:noProof/>
          <w:lang w:eastAsia="ko-KR"/>
        </w:rPr>
      </w:pPr>
      <w:r w:rsidRPr="003E3963">
        <w:rPr>
          <w:b/>
          <w:bCs/>
          <w:iCs/>
          <w:lang w:eastAsia="ko-KR"/>
        </w:rPr>
        <w:t xml:space="preserve">Proposal </w:t>
      </w:r>
      <w:r w:rsidR="00C1409A">
        <w:rPr>
          <w:b/>
          <w:bCs/>
          <w:iCs/>
          <w:lang w:eastAsia="ko-KR"/>
        </w:rPr>
        <w:t>4</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14:paraId="7EAB2342" w14:textId="77777777" w:rsidR="003F318B" w:rsidRDefault="00CF4BBE" w:rsidP="00CF4BBE">
      <w:pPr>
        <w:spacing w:line="276" w:lineRule="auto"/>
        <w:ind w:leftChars="1" w:left="2"/>
        <w:jc w:val="both"/>
        <w:rPr>
          <w:rFonts w:eastAsia="바탕"/>
          <w:lang w:eastAsia="ko-KR"/>
        </w:rPr>
      </w:pPr>
      <w:r w:rsidRPr="00CF4BBE">
        <w:rPr>
          <w:rFonts w:eastAsia="바탕"/>
          <w:lang w:eastAsia="ko-KR"/>
        </w:rPr>
        <w:t xml:space="preserve">There is </w:t>
      </w:r>
      <w:r>
        <w:rPr>
          <w:rFonts w:eastAsia="바탕"/>
          <w:lang w:eastAsia="ko-KR"/>
        </w:rPr>
        <w:t>another</w:t>
      </w:r>
      <w:r w:rsidRPr="00CF4BBE">
        <w:rPr>
          <w:rFonts w:eastAsia="바탕"/>
          <w:lang w:eastAsia="ko-KR"/>
        </w:rPr>
        <w:t xml:space="preserve"> open issue for same target cell, </w:t>
      </w:r>
      <w:r>
        <w:rPr>
          <w:rFonts w:eastAsia="바탕"/>
          <w:lang w:eastAsia="ko-KR"/>
        </w:rPr>
        <w:t xml:space="preserve">whether to support simultaneous configuration of CPA and CPC and how to </w:t>
      </w:r>
      <w:r w:rsidRPr="00CF4BBE">
        <w:rPr>
          <w:rFonts w:eastAsia="바탕"/>
          <w:lang w:eastAsia="ko-KR"/>
        </w:rPr>
        <w:t>support both configuration and conditions are different for CPA and CPC.</w:t>
      </w:r>
      <w:r w:rsidR="00286875">
        <w:rPr>
          <w:rFonts w:eastAsia="바탕"/>
          <w:lang w:eastAsia="ko-KR"/>
        </w:rPr>
        <w:t xml:space="preserve"> We think this issue can be applied for following scenario:</w:t>
      </w:r>
    </w:p>
    <w:p w14:paraId="06748AA0"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0: UE in Cell A with single connectivity</w:t>
      </w:r>
    </w:p>
    <w:p w14:paraId="3FF6C21D"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1: UE receives the CPA/CPC configurations (for subsequent change)</w:t>
      </w:r>
    </w:p>
    <w:p w14:paraId="7881AFE5"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2: Cell B in SN1 is added to PSCell with CPA procedure</w:t>
      </w:r>
    </w:p>
    <w:p w14:paraId="2245CA78"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3: PScell is changed to Cell C in SN2 by CPC procedure</w:t>
      </w:r>
    </w:p>
    <w:p w14:paraId="6A75352F"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4: PSCell is changed to Cell B in SN1 again by CPC procedure</w:t>
      </w:r>
    </w:p>
    <w:p w14:paraId="2D8632E1" w14:textId="77777777" w:rsidR="00286875" w:rsidRDefault="00286875" w:rsidP="00CF4BBE">
      <w:pPr>
        <w:spacing w:line="276" w:lineRule="auto"/>
        <w:ind w:leftChars="1" w:left="2"/>
        <w:jc w:val="both"/>
        <w:rPr>
          <w:rFonts w:eastAsia="바탕"/>
          <w:lang w:eastAsia="ko-KR"/>
        </w:rPr>
      </w:pPr>
    </w:p>
    <w:p w14:paraId="105A9D4F" w14:textId="77777777" w:rsidR="00CF229B" w:rsidRDefault="00CF229B" w:rsidP="00CF4BBE">
      <w:pPr>
        <w:spacing w:line="276" w:lineRule="auto"/>
        <w:ind w:leftChars="1" w:left="2"/>
        <w:jc w:val="both"/>
        <w:rPr>
          <w:rFonts w:eastAsia="바탕"/>
          <w:lang w:eastAsia="ko-KR"/>
        </w:rPr>
      </w:pPr>
      <w:r>
        <w:rPr>
          <w:rFonts w:eastAsia="바탕"/>
          <w:lang w:eastAsia="ko-KR"/>
        </w:rPr>
        <w:t>To support the simultaneous configuration of CPA and CPC in the single connectivity UE, we think following options can be considered.</w:t>
      </w:r>
    </w:p>
    <w:p w14:paraId="7F51A2AE" w14:textId="77777777" w:rsidR="00CF229B"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t xml:space="preserve">Option 1: </w:t>
      </w:r>
      <w:r w:rsidRPr="00CF229B">
        <w:rPr>
          <w:rFonts w:eastAsiaTheme="minorEastAsia"/>
          <w:kern w:val="2"/>
          <w:szCs w:val="22"/>
          <w:lang w:eastAsia="ko-KR"/>
        </w:rPr>
        <w:t>one condReconfig ID includes CPA condition and CPC condition</w:t>
      </w:r>
    </w:p>
    <w:p w14:paraId="79DAFC3F" w14:textId="77777777" w:rsidR="00CF229B" w:rsidRDefault="00CF229B"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Pr>
          <w:rFonts w:ascii="Times New Roman" w:eastAsiaTheme="minorEastAsia" w:hAnsi="Times New Roman"/>
          <w:kern w:val="2"/>
          <w:sz w:val="20"/>
          <w:lang w:eastAsia="ko-KR"/>
        </w:rPr>
        <w:t>Only condition could be</w:t>
      </w:r>
      <w:r w:rsidRPr="00CF229B">
        <w:rPr>
          <w:rFonts w:ascii="Times New Roman" w:eastAsiaTheme="minorEastAsia" w:hAnsi="Times New Roman"/>
          <w:kern w:val="2"/>
          <w:sz w:val="20"/>
          <w:lang w:eastAsia="ko-KR"/>
        </w:rPr>
        <w:t xml:space="preserve"> different (i.e. two condition and one configuration)</w:t>
      </w:r>
    </w:p>
    <w:p w14:paraId="610BF3A5" w14:textId="77777777" w:rsidR="00CF229B" w:rsidRPr="00CF229B" w:rsidRDefault="00CF229B" w:rsidP="00CF229B">
      <w:pPr>
        <w:numPr>
          <w:ilvl w:val="3"/>
          <w:numId w:val="35"/>
        </w:numPr>
        <w:tabs>
          <w:tab w:val="num" w:pos="2268"/>
        </w:tabs>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1: CPA condition (e.g. CondEvent A4)</w:t>
      </w:r>
    </w:p>
    <w:p w14:paraId="228EFD66" w14:textId="77777777" w:rsidR="00CF229B" w:rsidRPr="00CF229B" w:rsidRDefault="00CF229B" w:rsidP="00CF229B">
      <w:pPr>
        <w:numPr>
          <w:ilvl w:val="3"/>
          <w:numId w:val="35"/>
        </w:numPr>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2: CPC condition (e.g. CondEvent A3)</w:t>
      </w:r>
    </w:p>
    <w:p w14:paraId="629C0094" w14:textId="77777777" w:rsidR="00CF229B" w:rsidRDefault="00CF229B"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Both condition and configuration could be different</w:t>
      </w:r>
    </w:p>
    <w:p w14:paraId="15CF1565" w14:textId="77777777" w:rsidR="00014A8F" w:rsidRPr="00CF229B" w:rsidRDefault="00AA742A" w:rsidP="00CF229B">
      <w:pPr>
        <w:numPr>
          <w:ilvl w:val="3"/>
          <w:numId w:val="35"/>
        </w:numPr>
        <w:overflowPunct/>
        <w:autoSpaceDE/>
        <w:autoSpaceDN/>
        <w:spacing w:after="60"/>
        <w:ind w:left="2127" w:hanging="142"/>
        <w:rPr>
          <w:rFonts w:eastAsia="맑은 고딕"/>
          <w:color w:val="000000"/>
          <w:kern w:val="24"/>
          <w:szCs w:val="24"/>
          <w:lang w:eastAsia="ko-KR"/>
          <w14:textFill>
            <w14:solidFill>
              <w14:srgbClr w14:val="000000">
                <w14:alpha w14:val="1000"/>
              </w14:srgbClr>
            </w14:solidFill>
          </w14:textFill>
        </w:rPr>
      </w:pPr>
      <w:r w:rsidRPr="00CF229B">
        <w:rPr>
          <w:rFonts w:eastAsia="맑은 고딕"/>
          <w:color w:val="000000"/>
          <w:kern w:val="24"/>
          <w:szCs w:val="24"/>
          <w:lang w:eastAsia="ko-KR"/>
          <w14:textFill>
            <w14:solidFill>
              <w14:srgbClr w14:val="000000">
                <w14:alpha w14:val="1000"/>
              </w14:srgbClr>
            </w14:solidFill>
          </w14:textFill>
        </w:rPr>
        <w:t>Introduce the new field for an additional configuration of measID 2</w:t>
      </w:r>
    </w:p>
    <w:p w14:paraId="44747F2F" w14:textId="77777777" w:rsidR="00CF229B" w:rsidRPr="00CC2250"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t xml:space="preserve">Option 2: </w:t>
      </w:r>
      <w:r w:rsidRPr="00CF229B">
        <w:rPr>
          <w:rFonts w:eastAsiaTheme="minorEastAsia"/>
          <w:kern w:val="2"/>
          <w:szCs w:val="22"/>
          <w:lang w:eastAsia="ko-KR"/>
        </w:rPr>
        <w:t>Each condReconfig ID includes only one type of condition (i.e. both condition and configuration could be different</w:t>
      </w:r>
      <w:r>
        <w:rPr>
          <w:rFonts w:eastAsiaTheme="minorEastAsia"/>
          <w:kern w:val="2"/>
          <w:szCs w:val="22"/>
          <w:lang w:eastAsia="ko-KR"/>
        </w:rPr>
        <w:t>)</w:t>
      </w:r>
    </w:p>
    <w:p w14:paraId="44401075" w14:textId="77777777" w:rsidR="00014A8F" w:rsidRPr="00CF229B" w:rsidRDefault="00AA742A"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1:  Types for CPA (for same MO)</w:t>
      </w:r>
    </w:p>
    <w:p w14:paraId="68C41EEF" w14:textId="77777777" w:rsidR="00014A8F" w:rsidRPr="00CF229B" w:rsidRDefault="00AA742A"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2:  Types for CPC (for same MO)</w:t>
      </w:r>
    </w:p>
    <w:p w14:paraId="46E3AD23" w14:textId="77777777" w:rsidR="00CF229B" w:rsidRDefault="00CF229B" w:rsidP="00CF4BBE">
      <w:pPr>
        <w:spacing w:line="276" w:lineRule="auto"/>
        <w:ind w:leftChars="1" w:left="2"/>
        <w:jc w:val="both"/>
        <w:rPr>
          <w:rFonts w:eastAsia="바탕"/>
          <w:lang w:eastAsia="ko-KR"/>
        </w:rPr>
      </w:pPr>
    </w:p>
    <w:p w14:paraId="2775EA4A" w14:textId="77777777" w:rsidR="00CF229B" w:rsidRDefault="00CF229B" w:rsidP="00CF4BBE">
      <w:pPr>
        <w:spacing w:line="276" w:lineRule="auto"/>
        <w:ind w:leftChars="1" w:left="2"/>
        <w:jc w:val="both"/>
        <w:rPr>
          <w:rFonts w:eastAsia="바탕"/>
          <w:lang w:eastAsia="ko-KR"/>
        </w:rPr>
      </w:pPr>
      <w:r>
        <w:rPr>
          <w:rFonts w:eastAsia="바탕" w:hint="eastAsia"/>
          <w:lang w:eastAsia="ko-KR"/>
        </w:rPr>
        <w:t>Option 2</w:t>
      </w:r>
      <w:r>
        <w:rPr>
          <w:rFonts w:eastAsia="바탕"/>
          <w:lang w:eastAsia="ko-KR"/>
        </w:rPr>
        <w:t xml:space="preserve"> seems simple and no further specification change is required, only need to describe that the simultaneous configuration of CPA and CPC are supported using the current signaling. However, it requires redundant signaling for the same measurement object to configure different type of condition and configuration. Meanwhile, Option 1</w:t>
      </w:r>
      <w:r>
        <w:rPr>
          <w:rFonts w:eastAsia="바탕" w:hint="eastAsia"/>
          <w:lang w:eastAsia="ko-KR"/>
        </w:rPr>
        <w:t xml:space="preserve"> </w:t>
      </w:r>
      <w:r>
        <w:rPr>
          <w:rFonts w:eastAsia="바탕"/>
          <w:lang w:eastAsia="ko-KR"/>
        </w:rPr>
        <w:t>has benefit of signaling reduction to configure the CPA and CPC simultaneously.</w:t>
      </w:r>
    </w:p>
    <w:p w14:paraId="71A9D2CD" w14:textId="21951CF0" w:rsidR="00CF229B" w:rsidRDefault="00CF229B" w:rsidP="00CF229B">
      <w:pPr>
        <w:pStyle w:val="B4"/>
        <w:ind w:left="1100" w:hangingChars="550" w:hanging="1100"/>
        <w:jc w:val="both"/>
        <w:rPr>
          <w:b/>
          <w:bCs/>
          <w:noProof/>
          <w:lang w:eastAsia="ko-KR"/>
        </w:rPr>
      </w:pPr>
      <w:r w:rsidRPr="003E3963">
        <w:rPr>
          <w:b/>
          <w:bCs/>
          <w:iCs/>
          <w:lang w:eastAsia="ko-KR"/>
        </w:rPr>
        <w:t xml:space="preserve">Proposal </w:t>
      </w:r>
      <w:r w:rsidR="00C1409A">
        <w:rPr>
          <w:b/>
          <w:bCs/>
          <w:iCs/>
          <w:lang w:eastAsia="ko-KR"/>
        </w:rPr>
        <w:t>5</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14:paraId="7B41CE8E" w14:textId="77777777" w:rsidR="002F617F" w:rsidRDefault="002F617F" w:rsidP="00CF229B">
      <w:pPr>
        <w:pStyle w:val="B4"/>
        <w:ind w:left="1100" w:hangingChars="550" w:hanging="1100"/>
        <w:jc w:val="both"/>
        <w:rPr>
          <w:b/>
          <w:bCs/>
          <w:noProof/>
          <w:lang w:eastAsia="ko-KR"/>
        </w:rPr>
      </w:pPr>
    </w:p>
    <w:p w14:paraId="73D264F9" w14:textId="5CDD92D1" w:rsidR="002F617F" w:rsidRDefault="002F617F" w:rsidP="002F617F">
      <w:pPr>
        <w:pStyle w:val="2"/>
        <w:tabs>
          <w:tab w:val="clear" w:pos="3270"/>
        </w:tabs>
        <w:ind w:left="426" w:hanging="284"/>
        <w:rPr>
          <w:lang w:eastAsia="ko-KR"/>
        </w:rPr>
      </w:pPr>
      <w:r w:rsidRPr="002F617F">
        <w:rPr>
          <w:lang w:eastAsia="ko-KR"/>
        </w:rPr>
        <w:t>When to configure UE on initial source PSCell can be used for the subsequent SCG change</w:t>
      </w:r>
    </w:p>
    <w:p w14:paraId="065C11FD" w14:textId="280F9B4D" w:rsidR="002F617F" w:rsidRPr="002F617F" w:rsidRDefault="002F617F" w:rsidP="00CF229B">
      <w:pPr>
        <w:pStyle w:val="B4"/>
        <w:ind w:left="1100" w:hangingChars="550" w:hanging="1100"/>
        <w:jc w:val="both"/>
        <w:rPr>
          <w:rFonts w:eastAsia="바탕"/>
          <w:lang w:eastAsia="ko-KR"/>
        </w:rPr>
      </w:pPr>
      <w:r w:rsidRPr="002F617F">
        <w:rPr>
          <w:rFonts w:eastAsia="바탕"/>
          <w:lang w:eastAsia="ko-KR"/>
        </w:rPr>
        <w:t>In RAN2#121 meeting, RAN2 made one following agreement on the subsequent CPAC after SCG change [3].</w:t>
      </w:r>
    </w:p>
    <w:tbl>
      <w:tblPr>
        <w:tblStyle w:val="ab"/>
        <w:tblW w:w="0" w:type="auto"/>
        <w:tblInd w:w="-5" w:type="dxa"/>
        <w:tblLook w:val="04A0" w:firstRow="1" w:lastRow="0" w:firstColumn="1" w:lastColumn="0" w:noHBand="0" w:noVBand="1"/>
      </w:tblPr>
      <w:tblGrid>
        <w:gridCol w:w="9022"/>
      </w:tblGrid>
      <w:tr w:rsidR="002F617F" w14:paraId="5835CB75" w14:textId="77777777" w:rsidTr="002F617F">
        <w:tc>
          <w:tcPr>
            <w:tcW w:w="9022" w:type="dxa"/>
          </w:tcPr>
          <w:p w14:paraId="1575832B" w14:textId="3BFB7CDE" w:rsidR="002F617F" w:rsidRPr="002F617F" w:rsidRDefault="002F617F" w:rsidP="002F617F">
            <w:pPr>
              <w:pStyle w:val="Agreement"/>
              <w:tabs>
                <w:tab w:val="clear" w:pos="360"/>
                <w:tab w:val="num" w:pos="1619"/>
              </w:tabs>
              <w:adjustRightInd/>
              <w:ind w:left="1619"/>
              <w:textAlignment w:val="auto"/>
              <w:rPr>
                <w:b w:val="0"/>
                <w:bCs/>
                <w:noProof/>
                <w:lang w:eastAsia="ko-KR"/>
              </w:rPr>
            </w:pPr>
            <w:r w:rsidRPr="00B77740">
              <w:t>It is assumed that if the UE need to be a</w:t>
            </w:r>
            <w:r w:rsidR="00711D63">
              <w:t xml:space="preserve">ble to return to a current SCG </w:t>
            </w:r>
            <w:r w:rsidRPr="00B77740">
              <w:t xml:space="preserve">by conditional procedure, then the network could explicitly configure a candidate configuration for that  cell. </w:t>
            </w:r>
          </w:p>
        </w:tc>
      </w:tr>
    </w:tbl>
    <w:p w14:paraId="79C5A300" w14:textId="417482C2" w:rsidR="002F617F" w:rsidRDefault="002F617F" w:rsidP="00CF229B">
      <w:pPr>
        <w:pStyle w:val="B4"/>
        <w:ind w:left="1100" w:hangingChars="550" w:hanging="1100"/>
        <w:jc w:val="both"/>
        <w:rPr>
          <w:b/>
          <w:bCs/>
          <w:noProof/>
          <w:lang w:val="en-GB" w:eastAsia="ko-KR"/>
        </w:rPr>
      </w:pPr>
    </w:p>
    <w:p w14:paraId="6027BDB7" w14:textId="22B99CFB" w:rsidR="002F617F" w:rsidRPr="002F617F" w:rsidRDefault="002F617F" w:rsidP="002F617F">
      <w:pPr>
        <w:spacing w:before="120" w:after="120" w:line="276" w:lineRule="auto"/>
        <w:jc w:val="both"/>
        <w:rPr>
          <w:rFonts w:eastAsia="SimSun"/>
          <w:lang w:val="en-GB" w:eastAsia="en-US"/>
        </w:rPr>
      </w:pPr>
      <w:r w:rsidRPr="002F617F">
        <w:rPr>
          <w:rFonts w:eastAsia="SimSun"/>
          <w:lang w:val="en-GB" w:eastAsia="en-US"/>
        </w:rPr>
        <w:t>After looking through the whole subsequent SCG change procedure (e.g., MN initiated subsequen</w:t>
      </w:r>
      <w:r w:rsidR="003F551D">
        <w:rPr>
          <w:rFonts w:eastAsia="SimSun"/>
          <w:lang w:val="en-GB" w:eastAsia="en-US"/>
        </w:rPr>
        <w:t>t SCG change procedure in Fig.3</w:t>
      </w:r>
      <w:r w:rsidRPr="002F617F">
        <w:rPr>
          <w:rFonts w:eastAsia="SimSun"/>
          <w:lang w:val="en-GB" w:eastAsia="en-US"/>
        </w:rPr>
        <w:t xml:space="preserve">), we can see that possible configuration time is before or after execution of CPC. </w:t>
      </w:r>
    </w:p>
    <w:p w14:paraId="6FA6013A" w14:textId="77777777" w:rsidR="002F617F" w:rsidRPr="002F617F" w:rsidRDefault="002F617F" w:rsidP="002F617F">
      <w:pPr>
        <w:spacing w:before="120" w:after="120" w:line="276" w:lineRule="auto"/>
        <w:ind w:leftChars="200" w:left="400"/>
        <w:jc w:val="both"/>
        <w:rPr>
          <w:rFonts w:eastAsia="SimSun"/>
          <w:b/>
          <w:lang w:val="en-GB" w:eastAsia="en-US"/>
        </w:rPr>
      </w:pPr>
      <w:r w:rsidRPr="002F617F">
        <w:rPr>
          <w:rFonts w:eastAsia="SimSun"/>
          <w:b/>
          <w:lang w:val="en-GB" w:eastAsia="en-US"/>
        </w:rPr>
        <w:t>-Alternative#1: configuration time is before CPC execution</w:t>
      </w:r>
    </w:p>
    <w:p w14:paraId="4E89EF8D" w14:textId="09D6EE93" w:rsidR="002F617F" w:rsidRPr="002F617F" w:rsidRDefault="002F617F" w:rsidP="002F617F">
      <w:pPr>
        <w:spacing w:before="120" w:after="120" w:line="276" w:lineRule="auto"/>
        <w:ind w:leftChars="200" w:left="400"/>
        <w:jc w:val="both"/>
        <w:rPr>
          <w:rFonts w:eastAsia="SimSun"/>
          <w:lang w:val="en-GB" w:eastAsia="en-US"/>
        </w:rPr>
      </w:pPr>
      <w:r w:rsidRPr="002F617F">
        <w:rPr>
          <w:rFonts w:eastAsia="SimSun"/>
          <w:lang w:val="en-GB" w:eastAsia="en-US"/>
        </w:rPr>
        <w:t>Even though UE received execution condition</w:t>
      </w:r>
      <w:r w:rsidR="00BA6D65">
        <w:rPr>
          <w:rFonts w:eastAsia="SimSun"/>
          <w:lang w:val="en-GB" w:eastAsia="en-US"/>
        </w:rPr>
        <w:t xml:space="preserve"> of source PSCell in advanced,</w:t>
      </w:r>
      <w:r w:rsidRPr="002F617F">
        <w:rPr>
          <w:rFonts w:eastAsia="SimSun"/>
          <w:lang w:val="en-GB" w:eastAsia="en-US"/>
        </w:rPr>
        <w:t xml:space="preserve"> UE shouldn’t evaluate the CPC execution condition of the source PSCell until the source PSCell becomes candidate PSCell after CPC execution. </w:t>
      </w:r>
    </w:p>
    <w:p w14:paraId="1CB7DA34" w14:textId="1E2F2557" w:rsidR="002F617F" w:rsidRPr="002F617F" w:rsidRDefault="002F617F" w:rsidP="002F617F">
      <w:pPr>
        <w:spacing w:before="120" w:after="120" w:line="276" w:lineRule="auto"/>
        <w:ind w:leftChars="200" w:left="400"/>
        <w:jc w:val="both"/>
        <w:rPr>
          <w:rFonts w:eastAsia="SimSun"/>
          <w:b/>
          <w:lang w:val="en-GB" w:eastAsia="en-US"/>
        </w:rPr>
      </w:pPr>
      <w:r w:rsidRPr="002F617F">
        <w:rPr>
          <w:rFonts w:eastAsia="SimSun"/>
          <w:b/>
          <w:lang w:val="en-GB" w:eastAsia="en-US"/>
        </w:rPr>
        <w:t>-Alternative#2: configurat</w:t>
      </w:r>
      <w:r w:rsidR="00993F3C">
        <w:rPr>
          <w:rFonts w:eastAsia="SimSun"/>
          <w:b/>
          <w:lang w:val="en-GB" w:eastAsia="en-US"/>
        </w:rPr>
        <w:t>ion time is after CPC execution</w:t>
      </w:r>
      <w:r w:rsidRPr="002F617F">
        <w:rPr>
          <w:rFonts w:eastAsia="SimSun"/>
          <w:b/>
          <w:lang w:val="en-GB" w:eastAsia="en-US"/>
        </w:rPr>
        <w:t xml:space="preserve"> </w:t>
      </w:r>
    </w:p>
    <w:p w14:paraId="543AB888" w14:textId="77777777" w:rsidR="002F617F" w:rsidRPr="002F617F" w:rsidRDefault="002F617F" w:rsidP="002F617F">
      <w:pPr>
        <w:spacing w:before="120" w:after="120" w:line="276" w:lineRule="auto"/>
        <w:ind w:leftChars="200" w:left="400"/>
        <w:jc w:val="both"/>
        <w:rPr>
          <w:rFonts w:eastAsia="SimSun"/>
          <w:lang w:val="en-GB" w:eastAsia="en-US"/>
        </w:rPr>
      </w:pPr>
      <w:r w:rsidRPr="002F617F">
        <w:rPr>
          <w:rFonts w:eastAsia="SimSun"/>
          <w:lang w:val="en-GB" w:eastAsia="en-US"/>
        </w:rPr>
        <w:t>If network want to configure it as one candidate PSCell for subsequent SCG change, the UE receives the configuration of the source PSCell after CPC execution. And then UE starts to evaluate the CPC execution condition of source PSCell.</w:t>
      </w:r>
    </w:p>
    <w:p w14:paraId="6BC629B9" w14:textId="7F156F9D" w:rsidR="002F617F" w:rsidRPr="002F617F" w:rsidRDefault="003F551D" w:rsidP="002F617F">
      <w:pPr>
        <w:spacing w:before="120" w:after="120"/>
        <w:jc w:val="both"/>
        <w:rPr>
          <w:b/>
          <w:bCs/>
        </w:rPr>
      </w:pPr>
      <w:r w:rsidRPr="002F617F">
        <w:object w:dxaOrig="16151" w:dyaOrig="8400" w14:anchorId="0E57F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238.45pt" o:ole="">
            <v:imagedata r:id="rId10" o:title=""/>
          </v:shape>
          <o:OLEObject Type="Embed" ProgID="Visio.Drawing.15" ShapeID="_x0000_i1025" DrawAspect="Content" ObjectID="_1745396207" r:id="rId11"/>
        </w:object>
      </w:r>
    </w:p>
    <w:p w14:paraId="62CFB4C4" w14:textId="2BE87EC9" w:rsidR="002F617F" w:rsidRDefault="002F617F" w:rsidP="002F617F">
      <w:pPr>
        <w:pStyle w:val="aa"/>
        <w:jc w:val="center"/>
        <w:rPr>
          <w:rFonts w:eastAsia="바탕"/>
          <w:lang w:eastAsia="ko-KR"/>
        </w:rPr>
      </w:pPr>
      <w:r>
        <w:t>Fig 3.</w:t>
      </w:r>
      <w:r w:rsidRPr="002F617F">
        <w:t>MN initiated subsequent SCG change procedure</w:t>
      </w:r>
      <w:r>
        <w:rPr>
          <w:i/>
          <w:iCs/>
          <w:color w:val="4472C4"/>
        </w:rPr>
        <w:t xml:space="preserve"> </w:t>
      </w:r>
    </w:p>
    <w:p w14:paraId="2C3B82C3" w14:textId="287D1D09" w:rsidR="002F617F" w:rsidRPr="002F617F" w:rsidRDefault="002F617F" w:rsidP="002F617F">
      <w:pPr>
        <w:pStyle w:val="aa"/>
        <w:jc w:val="center"/>
        <w:rPr>
          <w:i/>
          <w:iCs/>
          <w:color w:val="4472C4"/>
        </w:rPr>
      </w:pPr>
    </w:p>
    <w:p w14:paraId="021443B1" w14:textId="77777777" w:rsidR="002F617F" w:rsidRPr="002F617F" w:rsidRDefault="002F617F" w:rsidP="002F617F">
      <w:pPr>
        <w:spacing w:before="120" w:after="120" w:line="360" w:lineRule="auto"/>
        <w:jc w:val="both"/>
        <w:rPr>
          <w:b/>
          <w:bCs/>
          <w:lang w:val="en-GB"/>
        </w:rPr>
      </w:pPr>
    </w:p>
    <w:p w14:paraId="5E759066" w14:textId="05D0F5E4" w:rsidR="002F617F" w:rsidRDefault="002F617F" w:rsidP="002F617F">
      <w:pPr>
        <w:spacing w:before="120" w:after="120" w:line="276" w:lineRule="auto"/>
        <w:jc w:val="both"/>
        <w:rPr>
          <w:rFonts w:eastAsia="SimSun"/>
          <w:lang w:val="en-GB" w:eastAsia="en-US"/>
        </w:rPr>
      </w:pPr>
      <w:r w:rsidRPr="002F617F">
        <w:rPr>
          <w:rFonts w:eastAsia="SimSun"/>
          <w:lang w:val="en-GB" w:eastAsia="en-US"/>
        </w:rPr>
        <w:t>Compared with the above two sche</w:t>
      </w:r>
      <w:r w:rsidR="00993F3C">
        <w:rPr>
          <w:rFonts w:eastAsia="SimSun"/>
          <w:lang w:val="en-GB" w:eastAsia="en-US"/>
        </w:rPr>
        <w:t>mes, we prefer the Alternative#1 because source PSCell</w:t>
      </w:r>
      <w:r w:rsidRPr="002F617F">
        <w:rPr>
          <w:rFonts w:eastAsia="SimSun"/>
          <w:lang w:val="en-GB" w:eastAsia="en-US"/>
        </w:rPr>
        <w:t xml:space="preserve"> </w:t>
      </w:r>
      <w:r w:rsidR="00584103">
        <w:rPr>
          <w:rFonts w:eastAsia="SimSun"/>
          <w:lang w:val="en-GB" w:eastAsia="en-US"/>
        </w:rPr>
        <w:t xml:space="preserve">can be configured using the </w:t>
      </w:r>
      <w:r w:rsidR="00993F3C">
        <w:rPr>
          <w:rFonts w:eastAsia="SimSun"/>
          <w:lang w:val="en-GB" w:eastAsia="en-US"/>
        </w:rPr>
        <w:t>same RRCConfiguration message</w:t>
      </w:r>
      <w:r w:rsidR="00584103">
        <w:rPr>
          <w:rFonts w:eastAsia="SimSun"/>
          <w:lang w:val="en-GB" w:eastAsia="en-US"/>
        </w:rPr>
        <w:t xml:space="preserve"> </w:t>
      </w:r>
      <w:r w:rsidR="00584103" w:rsidRPr="00584103">
        <w:rPr>
          <w:rFonts w:eastAsia="SimSun"/>
          <w:lang w:val="en-GB" w:eastAsia="en-US"/>
        </w:rPr>
        <w:t>simultaneously</w:t>
      </w:r>
      <w:r w:rsidR="00584103">
        <w:rPr>
          <w:rFonts w:eastAsia="SimSun"/>
          <w:lang w:val="en-GB" w:eastAsia="en-US"/>
        </w:rPr>
        <w:t xml:space="preserve"> including</w:t>
      </w:r>
      <w:r w:rsidR="00993F3C">
        <w:rPr>
          <w:rFonts w:eastAsia="SimSun"/>
          <w:lang w:val="en-GB" w:eastAsia="en-US"/>
        </w:rPr>
        <w:t xml:space="preserve"> configuration of other candidate PSCells</w:t>
      </w:r>
      <w:r w:rsidR="00584103">
        <w:rPr>
          <w:rFonts w:eastAsia="SimSun"/>
          <w:lang w:val="en-GB" w:eastAsia="en-US"/>
        </w:rPr>
        <w:t>. However, in Alternative#2, a separate RRCConfiguration will be needed for configuration of source PSCell</w:t>
      </w:r>
      <w:r w:rsidRPr="002F617F">
        <w:rPr>
          <w:rFonts w:eastAsia="SimSun"/>
          <w:lang w:val="en-GB" w:eastAsia="en-US"/>
        </w:rPr>
        <w:t xml:space="preserve">. </w:t>
      </w:r>
      <w:r w:rsidR="00BA6D65">
        <w:rPr>
          <w:rFonts w:eastAsia="SimSun"/>
          <w:lang w:val="en-GB" w:eastAsia="en-US"/>
        </w:rPr>
        <w:t>But we would like to say that w</w:t>
      </w:r>
      <w:r w:rsidR="00584103">
        <w:rPr>
          <w:rFonts w:eastAsia="SimSun"/>
          <w:lang w:val="en-GB" w:eastAsia="en-US"/>
        </w:rPr>
        <w:t>hen to configure source PSCell is decided by network, it is possible for network to configure it before or after CPC execution</w:t>
      </w:r>
      <w:r w:rsidRPr="002F617F">
        <w:rPr>
          <w:rFonts w:eastAsia="SimSun"/>
          <w:lang w:val="en-GB" w:eastAsia="en-US"/>
        </w:rPr>
        <w:t>.</w:t>
      </w:r>
    </w:p>
    <w:p w14:paraId="3AC1CDA2" w14:textId="29C0A3F5" w:rsidR="007B673A" w:rsidRPr="002F617F" w:rsidRDefault="007B673A" w:rsidP="002F617F">
      <w:pPr>
        <w:spacing w:before="120" w:after="120" w:line="276" w:lineRule="auto"/>
        <w:jc w:val="both"/>
        <w:rPr>
          <w:rFonts w:eastAsia="SimSun"/>
          <w:lang w:val="en-GB" w:eastAsia="en-US"/>
        </w:rPr>
      </w:pPr>
      <w:r w:rsidRPr="007B673A">
        <w:rPr>
          <w:rFonts w:eastAsia="SimSun"/>
          <w:lang w:val="en-GB" w:eastAsia="en-US"/>
        </w:rPr>
        <w:t>Based on above discussion</w:t>
      </w:r>
      <w:r>
        <w:rPr>
          <w:rFonts w:eastAsia="SimSun"/>
          <w:lang w:val="en-GB" w:eastAsia="en-US"/>
        </w:rPr>
        <w:t xml:space="preserve"> in this section</w:t>
      </w:r>
      <w:r w:rsidR="00E85FC5">
        <w:rPr>
          <w:rFonts w:eastAsia="SimSun"/>
          <w:lang w:val="en-GB" w:eastAsia="en-US"/>
        </w:rPr>
        <w:t xml:space="preserve"> 2.6</w:t>
      </w:r>
      <w:r w:rsidRPr="007B673A">
        <w:rPr>
          <w:rFonts w:eastAsia="SimSun"/>
          <w:lang w:val="en-GB" w:eastAsia="en-US"/>
        </w:rPr>
        <w:t>, we have a below proposal on when to configure UE on initial source PSCell be used for the subsequent SCG change.</w:t>
      </w:r>
    </w:p>
    <w:p w14:paraId="2DC910E3" w14:textId="3E2097F5" w:rsidR="002F617F" w:rsidRDefault="00C1409A" w:rsidP="00CF229B">
      <w:pPr>
        <w:pStyle w:val="B4"/>
        <w:ind w:left="1100" w:hangingChars="550" w:hanging="1100"/>
        <w:jc w:val="both"/>
        <w:rPr>
          <w:b/>
          <w:bCs/>
          <w:iCs/>
          <w:lang w:eastAsia="ko-KR"/>
        </w:rPr>
      </w:pPr>
      <w:r>
        <w:rPr>
          <w:b/>
          <w:bCs/>
          <w:iCs/>
          <w:lang w:eastAsia="ko-KR"/>
        </w:rPr>
        <w:t>Proposal 6</w:t>
      </w:r>
      <w:r w:rsidR="007B673A" w:rsidRPr="007B673A">
        <w:rPr>
          <w:b/>
          <w:bCs/>
          <w:iCs/>
          <w:lang w:eastAsia="ko-KR"/>
        </w:rPr>
        <w:t xml:space="preserve">: </w:t>
      </w:r>
      <w:r w:rsidR="00584103">
        <w:rPr>
          <w:b/>
          <w:bCs/>
          <w:iCs/>
          <w:lang w:eastAsia="ko-KR"/>
        </w:rPr>
        <w:t>Whenever for before or a</w:t>
      </w:r>
      <w:r w:rsidR="007B673A" w:rsidRPr="007B673A">
        <w:rPr>
          <w:b/>
          <w:bCs/>
          <w:iCs/>
          <w:lang w:eastAsia="ko-KR"/>
        </w:rPr>
        <w:t xml:space="preserve">fter CPC execution, it is </w:t>
      </w:r>
      <w:r w:rsidR="00584103">
        <w:rPr>
          <w:b/>
          <w:bCs/>
          <w:iCs/>
          <w:lang w:eastAsia="ko-KR"/>
        </w:rPr>
        <w:t>both acceptable for NW to</w:t>
      </w:r>
      <w:r w:rsidR="007B673A" w:rsidRPr="007B673A">
        <w:rPr>
          <w:b/>
          <w:bCs/>
          <w:iCs/>
          <w:lang w:eastAsia="ko-KR"/>
        </w:rPr>
        <w:t xml:space="preserve"> explicitly configure the execution condition of initial source PSCell as one of the candidate PSCells for the subsequent SCG change. </w:t>
      </w:r>
    </w:p>
    <w:p w14:paraId="74D4FEC2" w14:textId="77777777" w:rsidR="00E85FC5" w:rsidRPr="00E85FC5" w:rsidRDefault="00E85FC5" w:rsidP="00CF229B">
      <w:pPr>
        <w:pStyle w:val="B4"/>
        <w:ind w:left="1100" w:hangingChars="550" w:hanging="1100"/>
        <w:jc w:val="both"/>
        <w:rPr>
          <w:b/>
          <w:bCs/>
          <w:noProof/>
          <w:lang w:eastAsia="ko-KR"/>
        </w:rPr>
      </w:pPr>
    </w:p>
    <w:p w14:paraId="1B08EBF9" w14:textId="77777777" w:rsidR="00793C19" w:rsidRPr="00F676D2" w:rsidRDefault="00793C19" w:rsidP="00F676D2">
      <w:pPr>
        <w:pStyle w:val="1"/>
      </w:pPr>
      <w:r w:rsidRPr="00F676D2">
        <w:t>Conclusion</w:t>
      </w:r>
    </w:p>
    <w:p w14:paraId="40517FB5"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119D0AD7" w14:textId="77777777" w:rsidR="00585A5D" w:rsidRDefault="00585A5D" w:rsidP="00585A5D">
      <w:pPr>
        <w:pStyle w:val="B4"/>
        <w:ind w:left="1100" w:hangingChars="550" w:hanging="1100"/>
        <w:jc w:val="both"/>
        <w:rPr>
          <w:rFonts w:eastAsia="Yu Mincho"/>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RAN2 determines the “</w:t>
      </w:r>
      <w:r w:rsidRPr="00BD3C15">
        <w:rPr>
          <w:b/>
          <w:bCs/>
          <w:noProof/>
          <w:lang w:eastAsia="ko-KR"/>
        </w:rPr>
        <w:t>Subsequent CPAC (SCPAC)</w:t>
      </w:r>
      <w:r>
        <w:rPr>
          <w:b/>
          <w:bCs/>
          <w:noProof/>
          <w:lang w:eastAsia="ko-KR"/>
        </w:rPr>
        <w:t xml:space="preserve">” as a name of </w:t>
      </w:r>
      <w:r w:rsidRPr="00BD3C15">
        <w:rPr>
          <w:b/>
          <w:bCs/>
          <w:noProof/>
          <w:lang w:eastAsia="ko-KR"/>
        </w:rPr>
        <w:t>NR-DC with selective activation of the cell groups</w:t>
      </w:r>
      <w:r>
        <w:rPr>
          <w:b/>
          <w:bCs/>
          <w:noProof/>
          <w:lang w:eastAsia="ko-KR"/>
        </w:rPr>
        <w:t>.</w:t>
      </w:r>
    </w:p>
    <w:p w14:paraId="5EAE9273" w14:textId="77777777" w:rsidR="00C1409A" w:rsidRDefault="00C1409A" w:rsidP="00C1409A">
      <w:pPr>
        <w:pStyle w:val="B4"/>
        <w:ind w:left="1100" w:hangingChars="550" w:hanging="1100"/>
        <w:jc w:val="both"/>
        <w:rPr>
          <w:rFonts w:eastAsia="Yu Mincho"/>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w:t>
      </w:r>
      <w:r w:rsidRPr="00C1409A">
        <w:rPr>
          <w:b/>
          <w:bCs/>
          <w:iCs/>
          <w:lang w:eastAsia="ko-KR"/>
        </w:rPr>
        <w:t>Introduce the separate MCG/SCG reference configurations for Rel-18 CPC and each candidate cell creates the condRRCReconfig for LTM which includes the MCG configuration and SCG configuration based on the reference configurations</w:t>
      </w:r>
      <w:r>
        <w:rPr>
          <w:b/>
          <w:bCs/>
          <w:iCs/>
          <w:lang w:eastAsia="ko-KR"/>
        </w:rPr>
        <w:t>.</w:t>
      </w:r>
    </w:p>
    <w:p w14:paraId="73AFC4A7" w14:textId="303F61D3" w:rsidR="00DA7514" w:rsidRDefault="00E85FC5" w:rsidP="00DA7514">
      <w:pPr>
        <w:pStyle w:val="B4"/>
        <w:ind w:left="1100" w:hangingChars="550" w:hanging="1100"/>
        <w:jc w:val="both"/>
        <w:rPr>
          <w:b/>
          <w:bCs/>
          <w:iCs/>
          <w:lang w:eastAsia="ko-KR"/>
        </w:rPr>
      </w:pPr>
      <w:r>
        <w:rPr>
          <w:b/>
          <w:bCs/>
          <w:iCs/>
          <w:lang w:eastAsia="ko-KR"/>
        </w:rPr>
        <w:t xml:space="preserve">Proposal </w:t>
      </w:r>
      <w:r w:rsidR="00C1409A">
        <w:rPr>
          <w:b/>
          <w:bCs/>
          <w:iCs/>
          <w:lang w:eastAsia="ko-KR"/>
        </w:rPr>
        <w:t>3</w:t>
      </w:r>
      <w:r w:rsidR="00DA7514" w:rsidRPr="006C01E2">
        <w:rPr>
          <w:b/>
          <w:bCs/>
          <w:iCs/>
          <w:lang w:eastAsia="ko-KR"/>
        </w:rPr>
        <w:t xml:space="preserve">: </w:t>
      </w:r>
      <w:r w:rsidR="00DA7514">
        <w:rPr>
          <w:b/>
          <w:bCs/>
          <w:iCs/>
          <w:lang w:eastAsia="ko-KR"/>
        </w:rPr>
        <w:t xml:space="preserve">RAN2 ask to SA3 if </w:t>
      </w:r>
      <w:r w:rsidR="00DA7514" w:rsidRPr="00484403">
        <w:rPr>
          <w:b/>
          <w:bCs/>
          <w:iCs/>
          <w:lang w:eastAsia="ko-KR"/>
        </w:rPr>
        <w:t>the multiple sk-counter/ S-KgNB for the subsequent CPC per SN (or per candidate PSCell)</w:t>
      </w:r>
      <w:r w:rsidR="00DA7514">
        <w:rPr>
          <w:b/>
          <w:bCs/>
          <w:iCs/>
          <w:lang w:eastAsia="ko-KR"/>
        </w:rPr>
        <w:t xml:space="preserve"> is valid.</w:t>
      </w:r>
    </w:p>
    <w:p w14:paraId="62DB3E5F" w14:textId="09A73062" w:rsidR="00927570" w:rsidRDefault="00927570" w:rsidP="00927570">
      <w:pPr>
        <w:pStyle w:val="B4"/>
        <w:ind w:left="1100" w:hangingChars="550" w:hanging="1100"/>
        <w:jc w:val="both"/>
        <w:rPr>
          <w:b/>
          <w:bCs/>
          <w:noProof/>
          <w:lang w:eastAsia="ko-KR"/>
        </w:rPr>
      </w:pPr>
      <w:r w:rsidRPr="003E3963">
        <w:rPr>
          <w:b/>
          <w:bCs/>
          <w:iCs/>
          <w:lang w:eastAsia="ko-KR"/>
        </w:rPr>
        <w:t xml:space="preserve">Proposal </w:t>
      </w:r>
      <w:r w:rsidR="00C1409A">
        <w:rPr>
          <w:b/>
          <w:bCs/>
          <w:iCs/>
          <w:lang w:eastAsia="ko-KR"/>
        </w:rPr>
        <w:t>4</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14:paraId="0FF4A678" w14:textId="1A0FC14A" w:rsidR="00CF229B" w:rsidRDefault="00CF229B" w:rsidP="00927570">
      <w:pPr>
        <w:pStyle w:val="B4"/>
        <w:ind w:left="1100" w:hangingChars="550" w:hanging="1100"/>
        <w:jc w:val="both"/>
        <w:rPr>
          <w:b/>
          <w:bCs/>
          <w:noProof/>
          <w:lang w:eastAsia="ko-KR"/>
        </w:rPr>
      </w:pPr>
      <w:r w:rsidRPr="003E3963">
        <w:rPr>
          <w:b/>
          <w:bCs/>
          <w:iCs/>
          <w:lang w:eastAsia="ko-KR"/>
        </w:rPr>
        <w:t xml:space="preserve">Proposal </w:t>
      </w:r>
      <w:r w:rsidR="00C1409A">
        <w:rPr>
          <w:b/>
          <w:bCs/>
          <w:iCs/>
          <w:lang w:eastAsia="ko-KR"/>
        </w:rPr>
        <w:t>5</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14:paraId="10FC1364" w14:textId="2B754687" w:rsidR="00E85FC5" w:rsidRDefault="00C1409A" w:rsidP="00E85FC5">
      <w:pPr>
        <w:pStyle w:val="B4"/>
        <w:ind w:left="1100" w:hangingChars="550" w:hanging="1100"/>
        <w:jc w:val="both"/>
        <w:rPr>
          <w:b/>
          <w:bCs/>
          <w:iCs/>
          <w:lang w:eastAsia="ko-KR"/>
        </w:rPr>
      </w:pPr>
      <w:r>
        <w:rPr>
          <w:b/>
          <w:bCs/>
          <w:iCs/>
          <w:lang w:eastAsia="ko-KR"/>
        </w:rPr>
        <w:lastRenderedPageBreak/>
        <w:t>Proposal 6</w:t>
      </w:r>
      <w:r w:rsidR="00E85FC5" w:rsidRPr="007B673A">
        <w:rPr>
          <w:b/>
          <w:bCs/>
          <w:iCs/>
          <w:lang w:eastAsia="ko-KR"/>
        </w:rPr>
        <w:t xml:space="preserve">: </w:t>
      </w:r>
      <w:r w:rsidR="00BA6D65">
        <w:rPr>
          <w:b/>
          <w:bCs/>
          <w:iCs/>
          <w:lang w:eastAsia="ko-KR"/>
        </w:rPr>
        <w:t>Whenever for before or a</w:t>
      </w:r>
      <w:r w:rsidR="00BA6D65" w:rsidRPr="007B673A">
        <w:rPr>
          <w:b/>
          <w:bCs/>
          <w:iCs/>
          <w:lang w:eastAsia="ko-KR"/>
        </w:rPr>
        <w:t xml:space="preserve">fter CPC execution, it is </w:t>
      </w:r>
      <w:r w:rsidR="00BA6D65">
        <w:rPr>
          <w:b/>
          <w:bCs/>
          <w:iCs/>
          <w:lang w:eastAsia="ko-KR"/>
        </w:rPr>
        <w:t>both acceptable for NW to</w:t>
      </w:r>
      <w:r w:rsidR="00BA6D65" w:rsidRPr="007B673A">
        <w:rPr>
          <w:b/>
          <w:bCs/>
          <w:iCs/>
          <w:lang w:eastAsia="ko-KR"/>
        </w:rPr>
        <w:t xml:space="preserve"> explicitly configure the execution condition of initial source PSCell as one of the candidate PSCells for the subsequent SCG change.</w:t>
      </w:r>
    </w:p>
    <w:p w14:paraId="77C66420" w14:textId="77777777" w:rsidR="00E85FC5" w:rsidRPr="00E85FC5" w:rsidRDefault="00E85FC5" w:rsidP="00927570">
      <w:pPr>
        <w:pStyle w:val="B4"/>
        <w:ind w:left="1100" w:hangingChars="550" w:hanging="1100"/>
        <w:jc w:val="both"/>
        <w:rPr>
          <w:b/>
          <w:bCs/>
          <w:noProof/>
          <w:lang w:eastAsia="ko-KR"/>
        </w:rPr>
      </w:pPr>
    </w:p>
    <w:p w14:paraId="37A308E9" w14:textId="77777777" w:rsidR="001626B6" w:rsidRDefault="00446ECE" w:rsidP="00B21A4D">
      <w:pPr>
        <w:pStyle w:val="1"/>
      </w:pPr>
      <w:r>
        <w:t>References</w:t>
      </w:r>
    </w:p>
    <w:p w14:paraId="049998C8" w14:textId="77777777" w:rsidR="005E3E0B" w:rsidRDefault="005E3E0B" w:rsidP="005E3E0B">
      <w:pPr>
        <w:pStyle w:val="Reference"/>
      </w:pPr>
      <w:r>
        <w:rPr>
          <w:rFonts w:hint="eastAsia"/>
        </w:rPr>
        <w:t>C</w:t>
      </w:r>
      <w:r>
        <w:t>hairman notes for RAN2#119bis-e meeting</w:t>
      </w:r>
      <w:r>
        <w:tab/>
        <w:t>RAN2.</w:t>
      </w:r>
    </w:p>
    <w:p w14:paraId="1386E4BC" w14:textId="55BB12C2" w:rsidR="00B06969" w:rsidRDefault="00B06969" w:rsidP="00B06969">
      <w:pPr>
        <w:pStyle w:val="Reference"/>
      </w:pPr>
      <w:r>
        <w:rPr>
          <w:rFonts w:hint="eastAsia"/>
        </w:rPr>
        <w:t>C</w:t>
      </w:r>
      <w:r>
        <w:t>hairman notes for RAN2#120 meeting</w:t>
      </w:r>
      <w:r>
        <w:tab/>
        <w:t>RAN2.</w:t>
      </w:r>
    </w:p>
    <w:p w14:paraId="10AE6340" w14:textId="2C68C362" w:rsidR="0023451B" w:rsidRDefault="0023451B" w:rsidP="0023451B">
      <w:pPr>
        <w:pStyle w:val="Reference"/>
      </w:pPr>
      <w:r>
        <w:rPr>
          <w:rFonts w:hint="eastAsia"/>
        </w:rPr>
        <w:t>C</w:t>
      </w:r>
      <w:r>
        <w:t>hairman notes for RAN2#121 meeting</w:t>
      </w:r>
      <w:r>
        <w:tab/>
        <w:t>RAN2.</w:t>
      </w:r>
    </w:p>
    <w:p w14:paraId="541CC9E7" w14:textId="633ACE7B" w:rsidR="005607AA" w:rsidRDefault="005607AA" w:rsidP="005607AA">
      <w:pPr>
        <w:pStyle w:val="Reference"/>
      </w:pPr>
      <w:r>
        <w:rPr>
          <w:rFonts w:hint="eastAsia"/>
        </w:rPr>
        <w:t>C</w:t>
      </w:r>
      <w:r>
        <w:t>hairman notes for RAN2#121bis-e meeting</w:t>
      </w:r>
      <w:r>
        <w:tab/>
        <w:t>RAN2.</w:t>
      </w:r>
    </w:p>
    <w:p w14:paraId="3901BCFD" w14:textId="77777777" w:rsidR="00C14873" w:rsidRPr="00A97083" w:rsidRDefault="00C14873" w:rsidP="00C14873">
      <w:pPr>
        <w:pStyle w:val="Reference"/>
      </w:pPr>
      <w:r w:rsidRPr="00A97083">
        <w:t>RP-213565</w:t>
      </w:r>
      <w:r w:rsidRPr="00A97083">
        <w:tab/>
        <w:t>New WID on Further NR mobility enhancements</w:t>
      </w:r>
      <w:r w:rsidRPr="00A97083">
        <w:tab/>
        <w:t>MediaTek.</w:t>
      </w:r>
    </w:p>
    <w:p w14:paraId="12BC14B3" w14:textId="0621C45C" w:rsidR="003B6C26" w:rsidRPr="00A97083" w:rsidRDefault="003B6C26" w:rsidP="003B6C26">
      <w:pPr>
        <w:pStyle w:val="Reference"/>
      </w:pPr>
      <w:r w:rsidRPr="00A97083">
        <w:t>R2-2213337</w:t>
      </w:r>
      <w:r w:rsidRPr="00A97083">
        <w:tab/>
        <w:t>LS on security for selective SCG activation</w:t>
      </w:r>
      <w:r w:rsidRPr="00A97083">
        <w:tab/>
        <w:t>RAN2.</w:t>
      </w:r>
    </w:p>
    <w:p w14:paraId="5876AD73" w14:textId="3DBB446C" w:rsidR="0023451B" w:rsidRPr="00A97083" w:rsidRDefault="0023451B" w:rsidP="0023451B">
      <w:pPr>
        <w:pStyle w:val="Reference"/>
      </w:pPr>
      <w:r w:rsidRPr="00A97083">
        <w:t>S3-231397</w:t>
      </w:r>
      <w:r w:rsidRPr="00A97083">
        <w:tab/>
        <w:t>Reply LS R2-2213337 LS on security for selective SCG activation</w:t>
      </w:r>
      <w:r w:rsidRPr="00A97083">
        <w:tab/>
        <w:t>SA3.</w:t>
      </w:r>
    </w:p>
    <w:p w14:paraId="5472C1E3" w14:textId="77777777" w:rsidR="00C14873" w:rsidRPr="00342578" w:rsidRDefault="00C14873" w:rsidP="00C14873">
      <w:pPr>
        <w:pStyle w:val="Reference"/>
        <w:numPr>
          <w:ilvl w:val="0"/>
          <w:numId w:val="0"/>
        </w:numPr>
        <w:ind w:left="567"/>
      </w:pPr>
    </w:p>
    <w:p w14:paraId="5184F768" w14:textId="77777777" w:rsidR="00B06969" w:rsidRPr="00325DEC" w:rsidRDefault="00B06969" w:rsidP="00B06969">
      <w:pPr>
        <w:pStyle w:val="Reference"/>
        <w:numPr>
          <w:ilvl w:val="0"/>
          <w:numId w:val="0"/>
        </w:numPr>
        <w:ind w:left="567"/>
      </w:pPr>
    </w:p>
    <w:p w14:paraId="751437BB" w14:textId="77777777" w:rsidR="00811D00" w:rsidRPr="00A90F93" w:rsidRDefault="00811D00" w:rsidP="005E3E0B">
      <w:pPr>
        <w:pStyle w:val="Reference"/>
        <w:numPr>
          <w:ilvl w:val="0"/>
          <w:numId w:val="0"/>
        </w:numPr>
        <w:ind w:left="567"/>
        <w:rPr>
          <w:sz w:val="20"/>
          <w:lang w:val="en-US"/>
        </w:rPr>
      </w:pPr>
    </w:p>
    <w:sectPr w:rsidR="00811D00" w:rsidRPr="00A90F93"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71EAB" w14:textId="77777777" w:rsidR="000160A2" w:rsidRPr="008C651D" w:rsidRDefault="000160A2" w:rsidP="00C24254">
      <w:pPr>
        <w:spacing w:after="0"/>
        <w:rPr>
          <w:rFonts w:ascii="Arial" w:eastAsia="SimSun" w:hAnsi="Arial" w:cs="Arial"/>
          <w:color w:val="0000FF"/>
          <w:kern w:val="2"/>
          <w:lang w:eastAsia="zh-CN"/>
        </w:rPr>
      </w:pPr>
      <w:r>
        <w:separator/>
      </w:r>
    </w:p>
  </w:endnote>
  <w:endnote w:type="continuationSeparator" w:id="0">
    <w:p w14:paraId="795825D4" w14:textId="77777777" w:rsidR="000160A2" w:rsidRPr="008C651D" w:rsidRDefault="000160A2"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903D9" w14:textId="77777777" w:rsidR="000160A2" w:rsidRPr="008C651D" w:rsidRDefault="000160A2" w:rsidP="00C24254">
      <w:pPr>
        <w:spacing w:after="0"/>
        <w:rPr>
          <w:rFonts w:ascii="Arial" w:eastAsia="SimSun" w:hAnsi="Arial" w:cs="Arial"/>
          <w:color w:val="0000FF"/>
          <w:kern w:val="2"/>
          <w:lang w:eastAsia="zh-CN"/>
        </w:rPr>
      </w:pPr>
      <w:r>
        <w:separator/>
      </w:r>
    </w:p>
  </w:footnote>
  <w:footnote w:type="continuationSeparator" w:id="0">
    <w:p w14:paraId="770B4C05" w14:textId="77777777" w:rsidR="000160A2" w:rsidRPr="008C651D" w:rsidRDefault="000160A2"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A435BB"/>
    <w:multiLevelType w:val="hybridMultilevel"/>
    <w:tmpl w:val="4B3E13BE"/>
    <w:lvl w:ilvl="0" w:tplc="7F4864AE">
      <w:start w:val="1"/>
      <w:numFmt w:val="bullet"/>
      <w:lvlText w:val="-"/>
      <w:lvlJc w:val="left"/>
      <w:pPr>
        <w:ind w:left="1044" w:hanging="360"/>
      </w:pPr>
      <w:rPr>
        <w:rFonts w:ascii="Calibri" w:eastAsiaTheme="minorEastAsia" w:hAnsi="Calibri" w:cs="Calibri" w:hint="default"/>
      </w:rPr>
    </w:lvl>
    <w:lvl w:ilvl="1" w:tplc="04090003">
      <w:start w:val="1"/>
      <w:numFmt w:val="bullet"/>
      <w:lvlText w:val=""/>
      <w:lvlJc w:val="left"/>
      <w:pPr>
        <w:ind w:left="1484" w:hanging="400"/>
      </w:pPr>
      <w:rPr>
        <w:rFonts w:ascii="Wingdings" w:hAnsi="Wingdings" w:hint="default"/>
      </w:rPr>
    </w:lvl>
    <w:lvl w:ilvl="2" w:tplc="04090005">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54822C6"/>
    <w:multiLevelType w:val="hybridMultilevel"/>
    <w:tmpl w:val="88521DB0"/>
    <w:lvl w:ilvl="0" w:tplc="72908D08">
      <w:start w:val="1"/>
      <w:numFmt w:val="bullet"/>
      <w:lvlText w:val="•"/>
      <w:lvlJc w:val="left"/>
      <w:pPr>
        <w:tabs>
          <w:tab w:val="num" w:pos="720"/>
        </w:tabs>
        <w:ind w:left="720" w:hanging="360"/>
      </w:pPr>
      <w:rPr>
        <w:rFonts w:ascii="Arial" w:hAnsi="Arial" w:hint="default"/>
      </w:rPr>
    </w:lvl>
    <w:lvl w:ilvl="1" w:tplc="DBCCDB62" w:tentative="1">
      <w:start w:val="1"/>
      <w:numFmt w:val="bullet"/>
      <w:lvlText w:val="•"/>
      <w:lvlJc w:val="left"/>
      <w:pPr>
        <w:tabs>
          <w:tab w:val="num" w:pos="1440"/>
        </w:tabs>
        <w:ind w:left="1440" w:hanging="360"/>
      </w:pPr>
      <w:rPr>
        <w:rFonts w:ascii="Arial" w:hAnsi="Arial" w:hint="default"/>
      </w:rPr>
    </w:lvl>
    <w:lvl w:ilvl="2" w:tplc="BDBEDB0A">
      <w:start w:val="1"/>
      <w:numFmt w:val="bullet"/>
      <w:lvlText w:val="•"/>
      <w:lvlJc w:val="left"/>
      <w:pPr>
        <w:tabs>
          <w:tab w:val="num" w:pos="2160"/>
        </w:tabs>
        <w:ind w:left="2160" w:hanging="360"/>
      </w:pPr>
      <w:rPr>
        <w:rFonts w:ascii="Arial" w:hAnsi="Arial" w:hint="default"/>
      </w:rPr>
    </w:lvl>
    <w:lvl w:ilvl="3" w:tplc="AB5ECF04" w:tentative="1">
      <w:start w:val="1"/>
      <w:numFmt w:val="bullet"/>
      <w:lvlText w:val="•"/>
      <w:lvlJc w:val="left"/>
      <w:pPr>
        <w:tabs>
          <w:tab w:val="num" w:pos="2880"/>
        </w:tabs>
        <w:ind w:left="2880" w:hanging="360"/>
      </w:pPr>
      <w:rPr>
        <w:rFonts w:ascii="Arial" w:hAnsi="Arial" w:hint="default"/>
      </w:rPr>
    </w:lvl>
    <w:lvl w:ilvl="4" w:tplc="567410F4" w:tentative="1">
      <w:start w:val="1"/>
      <w:numFmt w:val="bullet"/>
      <w:lvlText w:val="•"/>
      <w:lvlJc w:val="left"/>
      <w:pPr>
        <w:tabs>
          <w:tab w:val="num" w:pos="3600"/>
        </w:tabs>
        <w:ind w:left="3600" w:hanging="360"/>
      </w:pPr>
      <w:rPr>
        <w:rFonts w:ascii="Arial" w:hAnsi="Arial" w:hint="default"/>
      </w:rPr>
    </w:lvl>
    <w:lvl w:ilvl="5" w:tplc="B986B770" w:tentative="1">
      <w:start w:val="1"/>
      <w:numFmt w:val="bullet"/>
      <w:lvlText w:val="•"/>
      <w:lvlJc w:val="left"/>
      <w:pPr>
        <w:tabs>
          <w:tab w:val="num" w:pos="4320"/>
        </w:tabs>
        <w:ind w:left="4320" w:hanging="360"/>
      </w:pPr>
      <w:rPr>
        <w:rFonts w:ascii="Arial" w:hAnsi="Arial" w:hint="default"/>
      </w:rPr>
    </w:lvl>
    <w:lvl w:ilvl="6" w:tplc="F4E22002" w:tentative="1">
      <w:start w:val="1"/>
      <w:numFmt w:val="bullet"/>
      <w:lvlText w:val="•"/>
      <w:lvlJc w:val="left"/>
      <w:pPr>
        <w:tabs>
          <w:tab w:val="num" w:pos="5040"/>
        </w:tabs>
        <w:ind w:left="5040" w:hanging="360"/>
      </w:pPr>
      <w:rPr>
        <w:rFonts w:ascii="Arial" w:hAnsi="Arial" w:hint="default"/>
      </w:rPr>
    </w:lvl>
    <w:lvl w:ilvl="7" w:tplc="526EA1D8" w:tentative="1">
      <w:start w:val="1"/>
      <w:numFmt w:val="bullet"/>
      <w:lvlText w:val="•"/>
      <w:lvlJc w:val="left"/>
      <w:pPr>
        <w:tabs>
          <w:tab w:val="num" w:pos="5760"/>
        </w:tabs>
        <w:ind w:left="5760" w:hanging="360"/>
      </w:pPr>
      <w:rPr>
        <w:rFonts w:ascii="Arial" w:hAnsi="Arial" w:hint="default"/>
      </w:rPr>
    </w:lvl>
    <w:lvl w:ilvl="8" w:tplc="601479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2B1088A"/>
    <w:multiLevelType w:val="hybridMultilevel"/>
    <w:tmpl w:val="87925720"/>
    <w:lvl w:ilvl="0" w:tplc="FB2C697A">
      <w:start w:val="1"/>
      <w:numFmt w:val="bullet"/>
      <w:lvlText w:val="•"/>
      <w:lvlJc w:val="left"/>
      <w:pPr>
        <w:tabs>
          <w:tab w:val="num" w:pos="720"/>
        </w:tabs>
        <w:ind w:left="720" w:hanging="360"/>
      </w:pPr>
      <w:rPr>
        <w:rFonts w:ascii="Arial" w:hAnsi="Arial" w:hint="default"/>
      </w:rPr>
    </w:lvl>
    <w:lvl w:ilvl="1" w:tplc="0C4E4F70" w:tentative="1">
      <w:start w:val="1"/>
      <w:numFmt w:val="bullet"/>
      <w:lvlText w:val="•"/>
      <w:lvlJc w:val="left"/>
      <w:pPr>
        <w:tabs>
          <w:tab w:val="num" w:pos="1440"/>
        </w:tabs>
        <w:ind w:left="1440" w:hanging="360"/>
      </w:pPr>
      <w:rPr>
        <w:rFonts w:ascii="Arial" w:hAnsi="Arial" w:hint="default"/>
      </w:rPr>
    </w:lvl>
    <w:lvl w:ilvl="2" w:tplc="CB5AC6AE">
      <w:start w:val="1"/>
      <w:numFmt w:val="bullet"/>
      <w:lvlText w:val="•"/>
      <w:lvlJc w:val="left"/>
      <w:pPr>
        <w:tabs>
          <w:tab w:val="num" w:pos="2160"/>
        </w:tabs>
        <w:ind w:left="2160" w:hanging="360"/>
      </w:pPr>
      <w:rPr>
        <w:rFonts w:ascii="Arial" w:hAnsi="Arial" w:hint="default"/>
      </w:rPr>
    </w:lvl>
    <w:lvl w:ilvl="3" w:tplc="AA200DD4" w:tentative="1">
      <w:start w:val="1"/>
      <w:numFmt w:val="bullet"/>
      <w:lvlText w:val="•"/>
      <w:lvlJc w:val="left"/>
      <w:pPr>
        <w:tabs>
          <w:tab w:val="num" w:pos="2880"/>
        </w:tabs>
        <w:ind w:left="2880" w:hanging="360"/>
      </w:pPr>
      <w:rPr>
        <w:rFonts w:ascii="Arial" w:hAnsi="Arial" w:hint="default"/>
      </w:rPr>
    </w:lvl>
    <w:lvl w:ilvl="4" w:tplc="EB4073D8" w:tentative="1">
      <w:start w:val="1"/>
      <w:numFmt w:val="bullet"/>
      <w:lvlText w:val="•"/>
      <w:lvlJc w:val="left"/>
      <w:pPr>
        <w:tabs>
          <w:tab w:val="num" w:pos="3600"/>
        </w:tabs>
        <w:ind w:left="3600" w:hanging="360"/>
      </w:pPr>
      <w:rPr>
        <w:rFonts w:ascii="Arial" w:hAnsi="Arial" w:hint="default"/>
      </w:rPr>
    </w:lvl>
    <w:lvl w:ilvl="5" w:tplc="C7661544" w:tentative="1">
      <w:start w:val="1"/>
      <w:numFmt w:val="bullet"/>
      <w:lvlText w:val="•"/>
      <w:lvlJc w:val="left"/>
      <w:pPr>
        <w:tabs>
          <w:tab w:val="num" w:pos="4320"/>
        </w:tabs>
        <w:ind w:left="4320" w:hanging="360"/>
      </w:pPr>
      <w:rPr>
        <w:rFonts w:ascii="Arial" w:hAnsi="Arial" w:hint="default"/>
      </w:rPr>
    </w:lvl>
    <w:lvl w:ilvl="6" w:tplc="19E6F196" w:tentative="1">
      <w:start w:val="1"/>
      <w:numFmt w:val="bullet"/>
      <w:lvlText w:val="•"/>
      <w:lvlJc w:val="left"/>
      <w:pPr>
        <w:tabs>
          <w:tab w:val="num" w:pos="5040"/>
        </w:tabs>
        <w:ind w:left="5040" w:hanging="360"/>
      </w:pPr>
      <w:rPr>
        <w:rFonts w:ascii="Arial" w:hAnsi="Arial" w:hint="default"/>
      </w:rPr>
    </w:lvl>
    <w:lvl w:ilvl="7" w:tplc="A9244E04" w:tentative="1">
      <w:start w:val="1"/>
      <w:numFmt w:val="bullet"/>
      <w:lvlText w:val="•"/>
      <w:lvlJc w:val="left"/>
      <w:pPr>
        <w:tabs>
          <w:tab w:val="num" w:pos="5760"/>
        </w:tabs>
        <w:ind w:left="5760" w:hanging="360"/>
      </w:pPr>
      <w:rPr>
        <w:rFonts w:ascii="Arial" w:hAnsi="Arial" w:hint="default"/>
      </w:rPr>
    </w:lvl>
    <w:lvl w:ilvl="8" w:tplc="63BED5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1" w15:restartNumberingAfterBreak="0">
    <w:nsid w:val="37C06E18"/>
    <w:multiLevelType w:val="hybridMultilevel"/>
    <w:tmpl w:val="C5D288B8"/>
    <w:lvl w:ilvl="0" w:tplc="A26228B8">
      <w:start w:val="1"/>
      <w:numFmt w:val="bullet"/>
      <w:lvlText w:val="-"/>
      <w:lvlJc w:val="left"/>
      <w:pPr>
        <w:tabs>
          <w:tab w:val="num" w:pos="720"/>
        </w:tabs>
        <w:ind w:left="720" w:hanging="360"/>
      </w:pPr>
      <w:rPr>
        <w:rFonts w:ascii="맑은 고딕" w:hAnsi="맑은 고딕" w:hint="default"/>
      </w:rPr>
    </w:lvl>
    <w:lvl w:ilvl="1" w:tplc="97C8783E">
      <w:start w:val="1"/>
      <w:numFmt w:val="bullet"/>
      <w:lvlText w:val="-"/>
      <w:lvlJc w:val="left"/>
      <w:pPr>
        <w:tabs>
          <w:tab w:val="num" w:pos="1440"/>
        </w:tabs>
        <w:ind w:left="1440" w:hanging="360"/>
      </w:pPr>
      <w:rPr>
        <w:rFonts w:ascii="맑은 고딕" w:hAnsi="맑은 고딕" w:hint="default"/>
      </w:rPr>
    </w:lvl>
    <w:lvl w:ilvl="2" w:tplc="843ECE14" w:tentative="1">
      <w:start w:val="1"/>
      <w:numFmt w:val="bullet"/>
      <w:lvlText w:val="-"/>
      <w:lvlJc w:val="left"/>
      <w:pPr>
        <w:tabs>
          <w:tab w:val="num" w:pos="2160"/>
        </w:tabs>
        <w:ind w:left="2160" w:hanging="360"/>
      </w:pPr>
      <w:rPr>
        <w:rFonts w:ascii="맑은 고딕" w:hAnsi="맑은 고딕" w:hint="default"/>
      </w:rPr>
    </w:lvl>
    <w:lvl w:ilvl="3" w:tplc="892E23CC" w:tentative="1">
      <w:start w:val="1"/>
      <w:numFmt w:val="bullet"/>
      <w:lvlText w:val="-"/>
      <w:lvlJc w:val="left"/>
      <w:pPr>
        <w:tabs>
          <w:tab w:val="num" w:pos="2880"/>
        </w:tabs>
        <w:ind w:left="2880" w:hanging="360"/>
      </w:pPr>
      <w:rPr>
        <w:rFonts w:ascii="맑은 고딕" w:hAnsi="맑은 고딕" w:hint="default"/>
      </w:rPr>
    </w:lvl>
    <w:lvl w:ilvl="4" w:tplc="CE36A800" w:tentative="1">
      <w:start w:val="1"/>
      <w:numFmt w:val="bullet"/>
      <w:lvlText w:val="-"/>
      <w:lvlJc w:val="left"/>
      <w:pPr>
        <w:tabs>
          <w:tab w:val="num" w:pos="3600"/>
        </w:tabs>
        <w:ind w:left="3600" w:hanging="360"/>
      </w:pPr>
      <w:rPr>
        <w:rFonts w:ascii="맑은 고딕" w:hAnsi="맑은 고딕" w:hint="default"/>
      </w:rPr>
    </w:lvl>
    <w:lvl w:ilvl="5" w:tplc="B0FAD49C" w:tentative="1">
      <w:start w:val="1"/>
      <w:numFmt w:val="bullet"/>
      <w:lvlText w:val="-"/>
      <w:lvlJc w:val="left"/>
      <w:pPr>
        <w:tabs>
          <w:tab w:val="num" w:pos="4320"/>
        </w:tabs>
        <w:ind w:left="4320" w:hanging="360"/>
      </w:pPr>
      <w:rPr>
        <w:rFonts w:ascii="맑은 고딕" w:hAnsi="맑은 고딕" w:hint="default"/>
      </w:rPr>
    </w:lvl>
    <w:lvl w:ilvl="6" w:tplc="F6D28AC8" w:tentative="1">
      <w:start w:val="1"/>
      <w:numFmt w:val="bullet"/>
      <w:lvlText w:val="-"/>
      <w:lvlJc w:val="left"/>
      <w:pPr>
        <w:tabs>
          <w:tab w:val="num" w:pos="5040"/>
        </w:tabs>
        <w:ind w:left="5040" w:hanging="360"/>
      </w:pPr>
      <w:rPr>
        <w:rFonts w:ascii="맑은 고딕" w:hAnsi="맑은 고딕" w:hint="default"/>
      </w:rPr>
    </w:lvl>
    <w:lvl w:ilvl="7" w:tplc="87D203FA" w:tentative="1">
      <w:start w:val="1"/>
      <w:numFmt w:val="bullet"/>
      <w:lvlText w:val="-"/>
      <w:lvlJc w:val="left"/>
      <w:pPr>
        <w:tabs>
          <w:tab w:val="num" w:pos="5760"/>
        </w:tabs>
        <w:ind w:left="5760" w:hanging="360"/>
      </w:pPr>
      <w:rPr>
        <w:rFonts w:ascii="맑은 고딕" w:hAnsi="맑은 고딕" w:hint="default"/>
      </w:rPr>
    </w:lvl>
    <w:lvl w:ilvl="8" w:tplc="E04C81AA" w:tentative="1">
      <w:start w:val="1"/>
      <w:numFmt w:val="bullet"/>
      <w:lvlText w:val="-"/>
      <w:lvlJc w:val="left"/>
      <w:pPr>
        <w:tabs>
          <w:tab w:val="num" w:pos="6480"/>
        </w:tabs>
        <w:ind w:left="6480" w:hanging="360"/>
      </w:pPr>
      <w:rPr>
        <w:rFonts w:ascii="맑은 고딕" w:hAnsi="맑은 고딕" w:hint="default"/>
      </w:rPr>
    </w:lvl>
  </w:abstractNum>
  <w:abstractNum w:abstractNumId="12"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C263B3A"/>
    <w:multiLevelType w:val="hybridMultilevel"/>
    <w:tmpl w:val="F6663362"/>
    <w:lvl w:ilvl="0" w:tplc="7F4864AE">
      <w:start w:val="1"/>
      <w:numFmt w:val="bullet"/>
      <w:lvlText w:val="-"/>
      <w:lvlJc w:val="left"/>
      <w:pPr>
        <w:ind w:left="785" w:hanging="360"/>
      </w:pPr>
      <w:rPr>
        <w:rFonts w:ascii="Calibri" w:eastAsiaTheme="minorEastAsia" w:hAnsi="Calibri" w:cs="Calibri" w:hint="default"/>
      </w:rPr>
    </w:lvl>
    <w:lvl w:ilvl="1" w:tplc="04090003">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244" w:hanging="400"/>
      </w:pPr>
      <w:rPr>
        <w:rFonts w:ascii="Wingdings" w:hAnsi="Wingdings" w:hint="default"/>
      </w:rPr>
    </w:lvl>
    <w:lvl w:ilvl="3" w:tplc="04090001" w:tentative="1">
      <w:start w:val="1"/>
      <w:numFmt w:val="bullet"/>
      <w:lvlText w:val=""/>
      <w:lvlJc w:val="left"/>
      <w:pPr>
        <w:ind w:left="2644" w:hanging="400"/>
      </w:pPr>
      <w:rPr>
        <w:rFonts w:ascii="Wingdings" w:hAnsi="Wingdings" w:hint="default"/>
      </w:rPr>
    </w:lvl>
    <w:lvl w:ilvl="4" w:tplc="04090003" w:tentative="1">
      <w:start w:val="1"/>
      <w:numFmt w:val="bullet"/>
      <w:lvlText w:val=""/>
      <w:lvlJc w:val="left"/>
      <w:pPr>
        <w:ind w:left="3044" w:hanging="400"/>
      </w:pPr>
      <w:rPr>
        <w:rFonts w:ascii="Wingdings" w:hAnsi="Wingdings" w:hint="default"/>
      </w:rPr>
    </w:lvl>
    <w:lvl w:ilvl="5" w:tplc="04090005" w:tentative="1">
      <w:start w:val="1"/>
      <w:numFmt w:val="bullet"/>
      <w:lvlText w:val=""/>
      <w:lvlJc w:val="left"/>
      <w:pPr>
        <w:ind w:left="3444" w:hanging="400"/>
      </w:pPr>
      <w:rPr>
        <w:rFonts w:ascii="Wingdings" w:hAnsi="Wingdings" w:hint="default"/>
      </w:rPr>
    </w:lvl>
    <w:lvl w:ilvl="6" w:tplc="04090001" w:tentative="1">
      <w:start w:val="1"/>
      <w:numFmt w:val="bullet"/>
      <w:lvlText w:val=""/>
      <w:lvlJc w:val="left"/>
      <w:pPr>
        <w:ind w:left="3844" w:hanging="400"/>
      </w:pPr>
      <w:rPr>
        <w:rFonts w:ascii="Wingdings" w:hAnsi="Wingdings" w:hint="default"/>
      </w:rPr>
    </w:lvl>
    <w:lvl w:ilvl="7" w:tplc="04090003" w:tentative="1">
      <w:start w:val="1"/>
      <w:numFmt w:val="bullet"/>
      <w:lvlText w:val=""/>
      <w:lvlJc w:val="left"/>
      <w:pPr>
        <w:ind w:left="4244" w:hanging="400"/>
      </w:pPr>
      <w:rPr>
        <w:rFonts w:ascii="Wingdings" w:hAnsi="Wingdings" w:hint="default"/>
      </w:rPr>
    </w:lvl>
    <w:lvl w:ilvl="8" w:tplc="04090005" w:tentative="1">
      <w:start w:val="1"/>
      <w:numFmt w:val="bullet"/>
      <w:lvlText w:val=""/>
      <w:lvlJc w:val="left"/>
      <w:pPr>
        <w:ind w:left="4644" w:hanging="400"/>
      </w:pPr>
      <w:rPr>
        <w:rFonts w:ascii="Wingdings" w:hAnsi="Wingdings" w:hint="default"/>
      </w:rPr>
    </w:lvl>
  </w:abstractNum>
  <w:abstractNum w:abstractNumId="17"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D8586C"/>
    <w:multiLevelType w:val="hybridMultilevel"/>
    <w:tmpl w:val="879E3362"/>
    <w:lvl w:ilvl="0" w:tplc="5B34441A">
      <w:start w:val="1"/>
      <w:numFmt w:val="bullet"/>
      <w:lvlText w:val="-"/>
      <w:lvlJc w:val="left"/>
      <w:pPr>
        <w:tabs>
          <w:tab w:val="num" w:pos="720"/>
        </w:tabs>
        <w:ind w:left="720" w:hanging="360"/>
      </w:pPr>
      <w:rPr>
        <w:rFonts w:ascii="맑은 고딕" w:hAnsi="맑은 고딕" w:hint="default"/>
      </w:rPr>
    </w:lvl>
    <w:lvl w:ilvl="1" w:tplc="0F14EEEE" w:tentative="1">
      <w:start w:val="1"/>
      <w:numFmt w:val="bullet"/>
      <w:lvlText w:val="-"/>
      <w:lvlJc w:val="left"/>
      <w:pPr>
        <w:tabs>
          <w:tab w:val="num" w:pos="1440"/>
        </w:tabs>
        <w:ind w:left="1440" w:hanging="360"/>
      </w:pPr>
      <w:rPr>
        <w:rFonts w:ascii="맑은 고딕" w:hAnsi="맑은 고딕" w:hint="default"/>
      </w:rPr>
    </w:lvl>
    <w:lvl w:ilvl="2" w:tplc="C8367B52" w:tentative="1">
      <w:start w:val="1"/>
      <w:numFmt w:val="bullet"/>
      <w:lvlText w:val="-"/>
      <w:lvlJc w:val="left"/>
      <w:pPr>
        <w:tabs>
          <w:tab w:val="num" w:pos="2160"/>
        </w:tabs>
        <w:ind w:left="2160" w:hanging="360"/>
      </w:pPr>
      <w:rPr>
        <w:rFonts w:ascii="맑은 고딕" w:hAnsi="맑은 고딕" w:hint="default"/>
      </w:rPr>
    </w:lvl>
    <w:lvl w:ilvl="3" w:tplc="08090003">
      <w:start w:val="1"/>
      <w:numFmt w:val="bullet"/>
      <w:lvlText w:val="o"/>
      <w:lvlJc w:val="left"/>
      <w:pPr>
        <w:tabs>
          <w:tab w:val="num" w:pos="2345"/>
        </w:tabs>
        <w:ind w:left="2345" w:hanging="360"/>
      </w:pPr>
      <w:rPr>
        <w:rFonts w:ascii="Courier New" w:hAnsi="Courier New" w:cs="Courier New" w:hint="default"/>
      </w:rPr>
    </w:lvl>
    <w:lvl w:ilvl="4" w:tplc="AAC0221E" w:tentative="1">
      <w:start w:val="1"/>
      <w:numFmt w:val="bullet"/>
      <w:lvlText w:val="-"/>
      <w:lvlJc w:val="left"/>
      <w:pPr>
        <w:tabs>
          <w:tab w:val="num" w:pos="3600"/>
        </w:tabs>
        <w:ind w:left="3600" w:hanging="360"/>
      </w:pPr>
      <w:rPr>
        <w:rFonts w:ascii="맑은 고딕" w:hAnsi="맑은 고딕" w:hint="default"/>
      </w:rPr>
    </w:lvl>
    <w:lvl w:ilvl="5" w:tplc="357C24F2" w:tentative="1">
      <w:start w:val="1"/>
      <w:numFmt w:val="bullet"/>
      <w:lvlText w:val="-"/>
      <w:lvlJc w:val="left"/>
      <w:pPr>
        <w:tabs>
          <w:tab w:val="num" w:pos="4320"/>
        </w:tabs>
        <w:ind w:left="4320" w:hanging="360"/>
      </w:pPr>
      <w:rPr>
        <w:rFonts w:ascii="맑은 고딕" w:hAnsi="맑은 고딕" w:hint="default"/>
      </w:rPr>
    </w:lvl>
    <w:lvl w:ilvl="6" w:tplc="AEC67D0C" w:tentative="1">
      <w:start w:val="1"/>
      <w:numFmt w:val="bullet"/>
      <w:lvlText w:val="-"/>
      <w:lvlJc w:val="left"/>
      <w:pPr>
        <w:tabs>
          <w:tab w:val="num" w:pos="5040"/>
        </w:tabs>
        <w:ind w:left="5040" w:hanging="360"/>
      </w:pPr>
      <w:rPr>
        <w:rFonts w:ascii="맑은 고딕" w:hAnsi="맑은 고딕" w:hint="default"/>
      </w:rPr>
    </w:lvl>
    <w:lvl w:ilvl="7" w:tplc="9ACC0172" w:tentative="1">
      <w:start w:val="1"/>
      <w:numFmt w:val="bullet"/>
      <w:lvlText w:val="-"/>
      <w:lvlJc w:val="left"/>
      <w:pPr>
        <w:tabs>
          <w:tab w:val="num" w:pos="5760"/>
        </w:tabs>
        <w:ind w:left="5760" w:hanging="360"/>
      </w:pPr>
      <w:rPr>
        <w:rFonts w:ascii="맑은 고딕" w:hAnsi="맑은 고딕" w:hint="default"/>
      </w:rPr>
    </w:lvl>
    <w:lvl w:ilvl="8" w:tplc="C1CEB1F0" w:tentative="1">
      <w:start w:val="1"/>
      <w:numFmt w:val="bullet"/>
      <w:lvlText w:val="-"/>
      <w:lvlJc w:val="left"/>
      <w:pPr>
        <w:tabs>
          <w:tab w:val="num" w:pos="6480"/>
        </w:tabs>
        <w:ind w:left="6480" w:hanging="360"/>
      </w:pPr>
      <w:rPr>
        <w:rFonts w:ascii="맑은 고딕" w:hAnsi="맑은 고딕" w:hint="default"/>
      </w:rPr>
    </w:lvl>
  </w:abstractNum>
  <w:abstractNum w:abstractNumId="19" w15:restartNumberingAfterBreak="0">
    <w:nsid w:val="448F51FF"/>
    <w:multiLevelType w:val="hybridMultilevel"/>
    <w:tmpl w:val="AE1616C0"/>
    <w:lvl w:ilvl="0" w:tplc="53148FA2">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0"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BEA6109"/>
    <w:multiLevelType w:val="hybridMultilevel"/>
    <w:tmpl w:val="BB3A2BFC"/>
    <w:lvl w:ilvl="0" w:tplc="3DCAFDE6">
      <w:start w:val="1"/>
      <w:numFmt w:val="bullet"/>
      <w:lvlText w:val=""/>
      <w:lvlJc w:val="left"/>
      <w:pPr>
        <w:ind w:left="1844" w:hanging="400"/>
      </w:pPr>
      <w:rPr>
        <w:rFonts w:ascii="Symbol" w:hAnsi="Symbol" w:hint="default"/>
      </w:rPr>
    </w:lvl>
    <w:lvl w:ilvl="1" w:tplc="04090003" w:tentative="1">
      <w:start w:val="1"/>
      <w:numFmt w:val="bullet"/>
      <w:lvlText w:val=""/>
      <w:lvlJc w:val="left"/>
      <w:pPr>
        <w:ind w:left="2244" w:hanging="400"/>
      </w:pPr>
      <w:rPr>
        <w:rFonts w:ascii="Wingdings" w:hAnsi="Wingdings" w:hint="default"/>
      </w:rPr>
    </w:lvl>
    <w:lvl w:ilvl="2" w:tplc="04090005" w:tentative="1">
      <w:start w:val="1"/>
      <w:numFmt w:val="bullet"/>
      <w:lvlText w:val=""/>
      <w:lvlJc w:val="left"/>
      <w:pPr>
        <w:ind w:left="2644" w:hanging="400"/>
      </w:pPr>
      <w:rPr>
        <w:rFonts w:ascii="Wingdings" w:hAnsi="Wingdings" w:hint="default"/>
      </w:rPr>
    </w:lvl>
    <w:lvl w:ilvl="3" w:tplc="04090001">
      <w:start w:val="1"/>
      <w:numFmt w:val="bullet"/>
      <w:lvlText w:val=""/>
      <w:lvlJc w:val="left"/>
      <w:pPr>
        <w:ind w:left="3044" w:hanging="400"/>
      </w:pPr>
      <w:rPr>
        <w:rFonts w:ascii="Wingdings" w:hAnsi="Wingdings" w:hint="default"/>
      </w:rPr>
    </w:lvl>
    <w:lvl w:ilvl="4" w:tplc="04090003" w:tentative="1">
      <w:start w:val="1"/>
      <w:numFmt w:val="bullet"/>
      <w:lvlText w:val=""/>
      <w:lvlJc w:val="left"/>
      <w:pPr>
        <w:ind w:left="3444" w:hanging="400"/>
      </w:pPr>
      <w:rPr>
        <w:rFonts w:ascii="Wingdings" w:hAnsi="Wingdings" w:hint="default"/>
      </w:rPr>
    </w:lvl>
    <w:lvl w:ilvl="5" w:tplc="04090005" w:tentative="1">
      <w:start w:val="1"/>
      <w:numFmt w:val="bullet"/>
      <w:lvlText w:val=""/>
      <w:lvlJc w:val="left"/>
      <w:pPr>
        <w:ind w:left="3844" w:hanging="400"/>
      </w:pPr>
      <w:rPr>
        <w:rFonts w:ascii="Wingdings" w:hAnsi="Wingdings" w:hint="default"/>
      </w:rPr>
    </w:lvl>
    <w:lvl w:ilvl="6" w:tplc="04090001" w:tentative="1">
      <w:start w:val="1"/>
      <w:numFmt w:val="bullet"/>
      <w:lvlText w:val=""/>
      <w:lvlJc w:val="left"/>
      <w:pPr>
        <w:ind w:left="4244" w:hanging="400"/>
      </w:pPr>
      <w:rPr>
        <w:rFonts w:ascii="Wingdings" w:hAnsi="Wingdings" w:hint="default"/>
      </w:rPr>
    </w:lvl>
    <w:lvl w:ilvl="7" w:tplc="04090003" w:tentative="1">
      <w:start w:val="1"/>
      <w:numFmt w:val="bullet"/>
      <w:lvlText w:val=""/>
      <w:lvlJc w:val="left"/>
      <w:pPr>
        <w:ind w:left="4644" w:hanging="400"/>
      </w:pPr>
      <w:rPr>
        <w:rFonts w:ascii="Wingdings" w:hAnsi="Wingdings" w:hint="default"/>
      </w:rPr>
    </w:lvl>
    <w:lvl w:ilvl="8" w:tplc="04090005" w:tentative="1">
      <w:start w:val="1"/>
      <w:numFmt w:val="bullet"/>
      <w:lvlText w:val=""/>
      <w:lvlJc w:val="left"/>
      <w:pPr>
        <w:ind w:left="5044" w:hanging="400"/>
      </w:pPr>
      <w:rPr>
        <w:rFonts w:ascii="Wingdings" w:hAnsi="Wingdings" w:hint="default"/>
      </w:rPr>
    </w:lvl>
  </w:abstractNum>
  <w:abstractNum w:abstractNumId="27" w15:restartNumberingAfterBreak="0">
    <w:nsid w:val="5C317B7C"/>
    <w:multiLevelType w:val="hybridMultilevel"/>
    <w:tmpl w:val="274AC116"/>
    <w:lvl w:ilvl="0" w:tplc="25AEDC9A">
      <w:start w:val="1"/>
      <w:numFmt w:val="bullet"/>
      <w:lvlText w:val="-"/>
      <w:lvlJc w:val="left"/>
      <w:pPr>
        <w:tabs>
          <w:tab w:val="num" w:pos="720"/>
        </w:tabs>
        <w:ind w:left="720" w:hanging="360"/>
      </w:pPr>
      <w:rPr>
        <w:rFonts w:ascii="맑은 고딕" w:hAnsi="맑은 고딕" w:hint="default"/>
      </w:rPr>
    </w:lvl>
    <w:lvl w:ilvl="1" w:tplc="BBECCC4E">
      <w:start w:val="1"/>
      <w:numFmt w:val="bullet"/>
      <w:lvlText w:val="-"/>
      <w:lvlJc w:val="left"/>
      <w:pPr>
        <w:tabs>
          <w:tab w:val="num" w:pos="1440"/>
        </w:tabs>
        <w:ind w:left="1440" w:hanging="360"/>
      </w:pPr>
      <w:rPr>
        <w:rFonts w:ascii="맑은 고딕" w:hAnsi="맑은 고딕" w:hint="default"/>
      </w:rPr>
    </w:lvl>
    <w:lvl w:ilvl="2" w:tplc="8344470E" w:tentative="1">
      <w:start w:val="1"/>
      <w:numFmt w:val="bullet"/>
      <w:lvlText w:val="-"/>
      <w:lvlJc w:val="left"/>
      <w:pPr>
        <w:tabs>
          <w:tab w:val="num" w:pos="2160"/>
        </w:tabs>
        <w:ind w:left="2160" w:hanging="360"/>
      </w:pPr>
      <w:rPr>
        <w:rFonts w:ascii="맑은 고딕" w:hAnsi="맑은 고딕" w:hint="default"/>
      </w:rPr>
    </w:lvl>
    <w:lvl w:ilvl="3" w:tplc="3AF68106" w:tentative="1">
      <w:start w:val="1"/>
      <w:numFmt w:val="bullet"/>
      <w:lvlText w:val="-"/>
      <w:lvlJc w:val="left"/>
      <w:pPr>
        <w:tabs>
          <w:tab w:val="num" w:pos="2880"/>
        </w:tabs>
        <w:ind w:left="2880" w:hanging="360"/>
      </w:pPr>
      <w:rPr>
        <w:rFonts w:ascii="맑은 고딕" w:hAnsi="맑은 고딕" w:hint="default"/>
      </w:rPr>
    </w:lvl>
    <w:lvl w:ilvl="4" w:tplc="3CA0551E" w:tentative="1">
      <w:start w:val="1"/>
      <w:numFmt w:val="bullet"/>
      <w:lvlText w:val="-"/>
      <w:lvlJc w:val="left"/>
      <w:pPr>
        <w:tabs>
          <w:tab w:val="num" w:pos="3600"/>
        </w:tabs>
        <w:ind w:left="3600" w:hanging="360"/>
      </w:pPr>
      <w:rPr>
        <w:rFonts w:ascii="맑은 고딕" w:hAnsi="맑은 고딕" w:hint="default"/>
      </w:rPr>
    </w:lvl>
    <w:lvl w:ilvl="5" w:tplc="EEE08954" w:tentative="1">
      <w:start w:val="1"/>
      <w:numFmt w:val="bullet"/>
      <w:lvlText w:val="-"/>
      <w:lvlJc w:val="left"/>
      <w:pPr>
        <w:tabs>
          <w:tab w:val="num" w:pos="4320"/>
        </w:tabs>
        <w:ind w:left="4320" w:hanging="360"/>
      </w:pPr>
      <w:rPr>
        <w:rFonts w:ascii="맑은 고딕" w:hAnsi="맑은 고딕" w:hint="default"/>
      </w:rPr>
    </w:lvl>
    <w:lvl w:ilvl="6" w:tplc="F9DAA920" w:tentative="1">
      <w:start w:val="1"/>
      <w:numFmt w:val="bullet"/>
      <w:lvlText w:val="-"/>
      <w:lvlJc w:val="left"/>
      <w:pPr>
        <w:tabs>
          <w:tab w:val="num" w:pos="5040"/>
        </w:tabs>
        <w:ind w:left="5040" w:hanging="360"/>
      </w:pPr>
      <w:rPr>
        <w:rFonts w:ascii="맑은 고딕" w:hAnsi="맑은 고딕" w:hint="default"/>
      </w:rPr>
    </w:lvl>
    <w:lvl w:ilvl="7" w:tplc="DB54D75C" w:tentative="1">
      <w:start w:val="1"/>
      <w:numFmt w:val="bullet"/>
      <w:lvlText w:val="-"/>
      <w:lvlJc w:val="left"/>
      <w:pPr>
        <w:tabs>
          <w:tab w:val="num" w:pos="5760"/>
        </w:tabs>
        <w:ind w:left="5760" w:hanging="360"/>
      </w:pPr>
      <w:rPr>
        <w:rFonts w:ascii="맑은 고딕" w:hAnsi="맑은 고딕" w:hint="default"/>
      </w:rPr>
    </w:lvl>
    <w:lvl w:ilvl="8" w:tplc="5BA8D0C0" w:tentative="1">
      <w:start w:val="1"/>
      <w:numFmt w:val="bullet"/>
      <w:lvlText w:val="-"/>
      <w:lvlJc w:val="left"/>
      <w:pPr>
        <w:tabs>
          <w:tab w:val="num" w:pos="6480"/>
        </w:tabs>
        <w:ind w:left="6480" w:hanging="360"/>
      </w:pPr>
      <w:rPr>
        <w:rFonts w:ascii="맑은 고딕" w:hAnsi="맑은 고딕" w:hint="default"/>
      </w:rPr>
    </w:lvl>
  </w:abstractNum>
  <w:abstractNum w:abstractNumId="28" w15:restartNumberingAfterBreak="0">
    <w:nsid w:val="5DAB466E"/>
    <w:multiLevelType w:val="hybridMultilevel"/>
    <w:tmpl w:val="AA92307E"/>
    <w:lvl w:ilvl="0" w:tplc="3F96E3C6">
      <w:start w:val="1"/>
      <w:numFmt w:val="decimal"/>
      <w:lvlText w:val="%1."/>
      <w:lvlJc w:val="left"/>
      <w:pPr>
        <w:ind w:left="362" w:hanging="360"/>
      </w:pPr>
      <w:rPr>
        <w:rFonts w:hint="default"/>
      </w:rPr>
    </w:lvl>
    <w:lvl w:ilvl="1" w:tplc="04090019">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9"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9E1823"/>
    <w:multiLevelType w:val="hybridMultilevel"/>
    <w:tmpl w:val="5DDC25BE"/>
    <w:lvl w:ilvl="0" w:tplc="35AC54B0">
      <w:start w:val="1"/>
      <w:numFmt w:val="bullet"/>
      <w:lvlText w:val="-"/>
      <w:lvlJc w:val="left"/>
      <w:pPr>
        <w:tabs>
          <w:tab w:val="num" w:pos="720"/>
        </w:tabs>
        <w:ind w:left="720" w:hanging="360"/>
      </w:pPr>
      <w:rPr>
        <w:rFonts w:ascii="맑은 고딕" w:hAnsi="맑은 고딕" w:hint="default"/>
      </w:rPr>
    </w:lvl>
    <w:lvl w:ilvl="1" w:tplc="44164B1A" w:tentative="1">
      <w:start w:val="1"/>
      <w:numFmt w:val="bullet"/>
      <w:lvlText w:val="-"/>
      <w:lvlJc w:val="left"/>
      <w:pPr>
        <w:tabs>
          <w:tab w:val="num" w:pos="1440"/>
        </w:tabs>
        <w:ind w:left="1440" w:hanging="360"/>
      </w:pPr>
      <w:rPr>
        <w:rFonts w:ascii="맑은 고딕" w:hAnsi="맑은 고딕" w:hint="default"/>
      </w:rPr>
    </w:lvl>
    <w:lvl w:ilvl="2" w:tplc="74206F72" w:tentative="1">
      <w:start w:val="1"/>
      <w:numFmt w:val="bullet"/>
      <w:lvlText w:val="-"/>
      <w:lvlJc w:val="left"/>
      <w:pPr>
        <w:tabs>
          <w:tab w:val="num" w:pos="2160"/>
        </w:tabs>
        <w:ind w:left="2160" w:hanging="360"/>
      </w:pPr>
      <w:rPr>
        <w:rFonts w:ascii="맑은 고딕" w:hAnsi="맑은 고딕" w:hint="default"/>
      </w:rPr>
    </w:lvl>
    <w:lvl w:ilvl="3" w:tplc="01EC2B20">
      <w:start w:val="1"/>
      <w:numFmt w:val="bullet"/>
      <w:lvlText w:val="-"/>
      <w:lvlJc w:val="left"/>
      <w:pPr>
        <w:tabs>
          <w:tab w:val="num" w:pos="2880"/>
        </w:tabs>
        <w:ind w:left="2880" w:hanging="360"/>
      </w:pPr>
      <w:rPr>
        <w:rFonts w:ascii="맑은 고딕" w:hAnsi="맑은 고딕" w:hint="default"/>
      </w:rPr>
    </w:lvl>
    <w:lvl w:ilvl="4" w:tplc="D946ED62" w:tentative="1">
      <w:start w:val="1"/>
      <w:numFmt w:val="bullet"/>
      <w:lvlText w:val="-"/>
      <w:lvlJc w:val="left"/>
      <w:pPr>
        <w:tabs>
          <w:tab w:val="num" w:pos="3600"/>
        </w:tabs>
        <w:ind w:left="3600" w:hanging="360"/>
      </w:pPr>
      <w:rPr>
        <w:rFonts w:ascii="맑은 고딕" w:hAnsi="맑은 고딕" w:hint="default"/>
      </w:rPr>
    </w:lvl>
    <w:lvl w:ilvl="5" w:tplc="68F29190" w:tentative="1">
      <w:start w:val="1"/>
      <w:numFmt w:val="bullet"/>
      <w:lvlText w:val="-"/>
      <w:lvlJc w:val="left"/>
      <w:pPr>
        <w:tabs>
          <w:tab w:val="num" w:pos="4320"/>
        </w:tabs>
        <w:ind w:left="4320" w:hanging="360"/>
      </w:pPr>
      <w:rPr>
        <w:rFonts w:ascii="맑은 고딕" w:hAnsi="맑은 고딕" w:hint="default"/>
      </w:rPr>
    </w:lvl>
    <w:lvl w:ilvl="6" w:tplc="C526DB16" w:tentative="1">
      <w:start w:val="1"/>
      <w:numFmt w:val="bullet"/>
      <w:lvlText w:val="-"/>
      <w:lvlJc w:val="left"/>
      <w:pPr>
        <w:tabs>
          <w:tab w:val="num" w:pos="5040"/>
        </w:tabs>
        <w:ind w:left="5040" w:hanging="360"/>
      </w:pPr>
      <w:rPr>
        <w:rFonts w:ascii="맑은 고딕" w:hAnsi="맑은 고딕" w:hint="default"/>
      </w:rPr>
    </w:lvl>
    <w:lvl w:ilvl="7" w:tplc="5448BF30" w:tentative="1">
      <w:start w:val="1"/>
      <w:numFmt w:val="bullet"/>
      <w:lvlText w:val="-"/>
      <w:lvlJc w:val="left"/>
      <w:pPr>
        <w:tabs>
          <w:tab w:val="num" w:pos="5760"/>
        </w:tabs>
        <w:ind w:left="5760" w:hanging="360"/>
      </w:pPr>
      <w:rPr>
        <w:rFonts w:ascii="맑은 고딕" w:hAnsi="맑은 고딕" w:hint="default"/>
      </w:rPr>
    </w:lvl>
    <w:lvl w:ilvl="8" w:tplc="457875B2" w:tentative="1">
      <w:start w:val="1"/>
      <w:numFmt w:val="bullet"/>
      <w:lvlText w:val="-"/>
      <w:lvlJc w:val="left"/>
      <w:pPr>
        <w:tabs>
          <w:tab w:val="num" w:pos="6480"/>
        </w:tabs>
        <w:ind w:left="6480" w:hanging="360"/>
      </w:pPr>
      <w:rPr>
        <w:rFonts w:ascii="맑은 고딕" w:hAnsi="맑은 고딕" w:hint="default"/>
      </w:rPr>
    </w:lvl>
  </w:abstractNum>
  <w:abstractNum w:abstractNumId="34"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590BB0"/>
    <w:multiLevelType w:val="hybridMultilevel"/>
    <w:tmpl w:val="3E7452C6"/>
    <w:lvl w:ilvl="0" w:tplc="04E0548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8"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3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40"/>
  </w:num>
  <w:num w:numId="3">
    <w:abstractNumId w:val="39"/>
  </w:num>
  <w:num w:numId="4">
    <w:abstractNumId w:val="32"/>
  </w:num>
  <w:num w:numId="5">
    <w:abstractNumId w:val="22"/>
  </w:num>
  <w:num w:numId="6">
    <w:abstractNumId w:val="13"/>
  </w:num>
  <w:num w:numId="7">
    <w:abstractNumId w:val="24"/>
  </w:num>
  <w:num w:numId="8">
    <w:abstractNumId w:val="2"/>
  </w:num>
  <w:num w:numId="9">
    <w:abstractNumId w:val="30"/>
  </w:num>
  <w:num w:numId="10">
    <w:abstractNumId w:val="21"/>
  </w:num>
  <w:num w:numId="11">
    <w:abstractNumId w:val="17"/>
  </w:num>
  <w:num w:numId="12">
    <w:abstractNumId w:val="31"/>
  </w:num>
  <w:num w:numId="13">
    <w:abstractNumId w:val="14"/>
  </w:num>
  <w:num w:numId="14">
    <w:abstractNumId w:val="37"/>
  </w:num>
  <w:num w:numId="15">
    <w:abstractNumId w:val="41"/>
  </w:num>
  <w:num w:numId="16">
    <w:abstractNumId w:val="5"/>
  </w:num>
  <w:num w:numId="17">
    <w:abstractNumId w:val="20"/>
  </w:num>
  <w:num w:numId="18">
    <w:abstractNumId w:val="34"/>
  </w:num>
  <w:num w:numId="19">
    <w:abstractNumId w:val="29"/>
  </w:num>
  <w:num w:numId="20">
    <w:abstractNumId w:val="38"/>
  </w:num>
  <w:num w:numId="21">
    <w:abstractNumId w:val="12"/>
  </w:num>
  <w:num w:numId="22">
    <w:abstractNumId w:val="9"/>
  </w:num>
  <w:num w:numId="23">
    <w:abstractNumId w:val="6"/>
  </w:num>
  <w:num w:numId="24">
    <w:abstractNumId w:val="1"/>
  </w:num>
  <w:num w:numId="25">
    <w:abstractNumId w:val="23"/>
  </w:num>
  <w:num w:numId="26">
    <w:abstractNumId w:val="7"/>
  </w:num>
  <w:num w:numId="27">
    <w:abstractNumId w:val="15"/>
  </w:num>
  <w:num w:numId="28">
    <w:abstractNumId w:val="36"/>
  </w:num>
  <w:num w:numId="29">
    <w:abstractNumId w:val="25"/>
  </w:num>
  <w:num w:numId="30">
    <w:abstractNumId w:val="16"/>
  </w:num>
  <w:num w:numId="31">
    <w:abstractNumId w:val="19"/>
  </w:num>
  <w:num w:numId="32">
    <w:abstractNumId w:val="3"/>
  </w:num>
  <w:num w:numId="33">
    <w:abstractNumId w:val="11"/>
  </w:num>
  <w:num w:numId="34">
    <w:abstractNumId w:val="26"/>
  </w:num>
  <w:num w:numId="35">
    <w:abstractNumId w:val="18"/>
  </w:num>
  <w:num w:numId="36">
    <w:abstractNumId w:val="33"/>
  </w:num>
  <w:num w:numId="37">
    <w:abstractNumId w:val="8"/>
  </w:num>
  <w:num w:numId="38">
    <w:abstractNumId w:val="35"/>
  </w:num>
  <w:num w:numId="39">
    <w:abstractNumId w:val="4"/>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28"/>
  </w:num>
  <w:num w:numId="43">
    <w:abstractNumId w:val="27"/>
  </w:num>
  <w:num w:numId="44">
    <w:abstractNumId w:val="22"/>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0"/>
  </w:num>
  <w:num w:numId="4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DAD"/>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4A8F"/>
    <w:rsid w:val="0001520A"/>
    <w:rsid w:val="0001543A"/>
    <w:rsid w:val="0001590C"/>
    <w:rsid w:val="000160A2"/>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524"/>
    <w:rsid w:val="0003660E"/>
    <w:rsid w:val="00036C1F"/>
    <w:rsid w:val="00037A1C"/>
    <w:rsid w:val="00037B2A"/>
    <w:rsid w:val="00037C0A"/>
    <w:rsid w:val="00040348"/>
    <w:rsid w:val="00040DEC"/>
    <w:rsid w:val="00041658"/>
    <w:rsid w:val="00041EF5"/>
    <w:rsid w:val="00042212"/>
    <w:rsid w:val="00042CFC"/>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4D3"/>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5F95"/>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24"/>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4C5E"/>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E"/>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40C5"/>
    <w:rsid w:val="00234506"/>
    <w:rsid w:val="0023451B"/>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62E"/>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3872"/>
    <w:rsid w:val="00274AED"/>
    <w:rsid w:val="00274B65"/>
    <w:rsid w:val="00275B45"/>
    <w:rsid w:val="00275CF8"/>
    <w:rsid w:val="00275EEC"/>
    <w:rsid w:val="002764BA"/>
    <w:rsid w:val="002764CE"/>
    <w:rsid w:val="00276500"/>
    <w:rsid w:val="002804F8"/>
    <w:rsid w:val="00280BC3"/>
    <w:rsid w:val="00280BED"/>
    <w:rsid w:val="00280E57"/>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75"/>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E74"/>
    <w:rsid w:val="002F2283"/>
    <w:rsid w:val="002F2742"/>
    <w:rsid w:val="002F2CE3"/>
    <w:rsid w:val="002F3264"/>
    <w:rsid w:val="002F3582"/>
    <w:rsid w:val="002F433C"/>
    <w:rsid w:val="002F456C"/>
    <w:rsid w:val="002F47CE"/>
    <w:rsid w:val="002F4B2C"/>
    <w:rsid w:val="002F4F25"/>
    <w:rsid w:val="002F5935"/>
    <w:rsid w:val="002F617F"/>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5DEC"/>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EAC"/>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478C"/>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49FF"/>
    <w:rsid w:val="003B578A"/>
    <w:rsid w:val="003B5E2A"/>
    <w:rsid w:val="003B66EF"/>
    <w:rsid w:val="003B6C26"/>
    <w:rsid w:val="003B73E0"/>
    <w:rsid w:val="003B790B"/>
    <w:rsid w:val="003B795C"/>
    <w:rsid w:val="003C0928"/>
    <w:rsid w:val="003C0B78"/>
    <w:rsid w:val="003C0FC6"/>
    <w:rsid w:val="003C14DB"/>
    <w:rsid w:val="003C1838"/>
    <w:rsid w:val="003C31E7"/>
    <w:rsid w:val="003C3596"/>
    <w:rsid w:val="003C35DB"/>
    <w:rsid w:val="003C3C0E"/>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5D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18B"/>
    <w:rsid w:val="003F32CB"/>
    <w:rsid w:val="003F45F8"/>
    <w:rsid w:val="003F4E5B"/>
    <w:rsid w:val="003F5047"/>
    <w:rsid w:val="003F51BF"/>
    <w:rsid w:val="003F551D"/>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4403"/>
    <w:rsid w:val="00484646"/>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3A4"/>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911"/>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0BAC"/>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83"/>
    <w:rsid w:val="005434D5"/>
    <w:rsid w:val="00543783"/>
    <w:rsid w:val="005443C5"/>
    <w:rsid w:val="00544F49"/>
    <w:rsid w:val="00546746"/>
    <w:rsid w:val="005467CF"/>
    <w:rsid w:val="005468DD"/>
    <w:rsid w:val="00546E0A"/>
    <w:rsid w:val="0054706A"/>
    <w:rsid w:val="0054746D"/>
    <w:rsid w:val="00547B32"/>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7AA"/>
    <w:rsid w:val="005608F8"/>
    <w:rsid w:val="00561186"/>
    <w:rsid w:val="00561194"/>
    <w:rsid w:val="0056169E"/>
    <w:rsid w:val="00561928"/>
    <w:rsid w:val="00561CE3"/>
    <w:rsid w:val="00562256"/>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5D63"/>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103"/>
    <w:rsid w:val="005847E8"/>
    <w:rsid w:val="00585A5D"/>
    <w:rsid w:val="00585F98"/>
    <w:rsid w:val="005861AA"/>
    <w:rsid w:val="005865F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6B2"/>
    <w:rsid w:val="005E17D4"/>
    <w:rsid w:val="005E1F2B"/>
    <w:rsid w:val="005E240A"/>
    <w:rsid w:val="005E2EBA"/>
    <w:rsid w:val="005E3069"/>
    <w:rsid w:val="005E3A9C"/>
    <w:rsid w:val="005E3E0B"/>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2FC"/>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16B"/>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39D"/>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399"/>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77"/>
    <w:rsid w:val="006A19D7"/>
    <w:rsid w:val="006A1BA8"/>
    <w:rsid w:val="006A2111"/>
    <w:rsid w:val="006A3172"/>
    <w:rsid w:val="006A4559"/>
    <w:rsid w:val="006A4C9E"/>
    <w:rsid w:val="006A5FC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1E2"/>
    <w:rsid w:val="006C0552"/>
    <w:rsid w:val="006C068C"/>
    <w:rsid w:val="006C07D3"/>
    <w:rsid w:val="006C0F92"/>
    <w:rsid w:val="006C1CF1"/>
    <w:rsid w:val="006C26B9"/>
    <w:rsid w:val="006C281B"/>
    <w:rsid w:val="006C2C4F"/>
    <w:rsid w:val="006C2E2F"/>
    <w:rsid w:val="006C4118"/>
    <w:rsid w:val="006C4302"/>
    <w:rsid w:val="006C46F3"/>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C6A"/>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664"/>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07A0"/>
    <w:rsid w:val="0071116B"/>
    <w:rsid w:val="007116FF"/>
    <w:rsid w:val="007117A2"/>
    <w:rsid w:val="0071184E"/>
    <w:rsid w:val="00711CA0"/>
    <w:rsid w:val="00711D63"/>
    <w:rsid w:val="00711FB6"/>
    <w:rsid w:val="00712267"/>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298"/>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09F"/>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4DC"/>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1A2"/>
    <w:rsid w:val="00794414"/>
    <w:rsid w:val="007945C7"/>
    <w:rsid w:val="0079465D"/>
    <w:rsid w:val="007947E0"/>
    <w:rsid w:val="00795009"/>
    <w:rsid w:val="007965C5"/>
    <w:rsid w:val="007976CD"/>
    <w:rsid w:val="00797A53"/>
    <w:rsid w:val="00797C0D"/>
    <w:rsid w:val="007A167A"/>
    <w:rsid w:val="007A1B58"/>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D2D"/>
    <w:rsid w:val="007B2FB2"/>
    <w:rsid w:val="007B4797"/>
    <w:rsid w:val="007B5462"/>
    <w:rsid w:val="007B5543"/>
    <w:rsid w:val="007B5799"/>
    <w:rsid w:val="007B5A46"/>
    <w:rsid w:val="007B5A71"/>
    <w:rsid w:val="007B673A"/>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C68"/>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2D43"/>
    <w:rsid w:val="007E3A3F"/>
    <w:rsid w:val="007E3A40"/>
    <w:rsid w:val="007E4BEA"/>
    <w:rsid w:val="007E4EF2"/>
    <w:rsid w:val="007E53C6"/>
    <w:rsid w:val="007E53E0"/>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13E"/>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87C"/>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03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570"/>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791"/>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3F3C"/>
    <w:rsid w:val="0099440C"/>
    <w:rsid w:val="009954DF"/>
    <w:rsid w:val="00995B16"/>
    <w:rsid w:val="0099681B"/>
    <w:rsid w:val="00997261"/>
    <w:rsid w:val="009977B8"/>
    <w:rsid w:val="009A00AD"/>
    <w:rsid w:val="009A046C"/>
    <w:rsid w:val="009A088E"/>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4FC5"/>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47E5D"/>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0B3D"/>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529"/>
    <w:rsid w:val="00A87C2D"/>
    <w:rsid w:val="00A905BF"/>
    <w:rsid w:val="00A90619"/>
    <w:rsid w:val="00A90ABD"/>
    <w:rsid w:val="00A90CCD"/>
    <w:rsid w:val="00A90F93"/>
    <w:rsid w:val="00A919C3"/>
    <w:rsid w:val="00A933C7"/>
    <w:rsid w:val="00A93C0E"/>
    <w:rsid w:val="00A94BD2"/>
    <w:rsid w:val="00A9517A"/>
    <w:rsid w:val="00A9561D"/>
    <w:rsid w:val="00A95A5B"/>
    <w:rsid w:val="00A95D82"/>
    <w:rsid w:val="00A9634E"/>
    <w:rsid w:val="00A96474"/>
    <w:rsid w:val="00A969C4"/>
    <w:rsid w:val="00A96A2C"/>
    <w:rsid w:val="00A96EF8"/>
    <w:rsid w:val="00A97083"/>
    <w:rsid w:val="00A973C7"/>
    <w:rsid w:val="00AA0059"/>
    <w:rsid w:val="00AA0137"/>
    <w:rsid w:val="00AA03C4"/>
    <w:rsid w:val="00AA0ECB"/>
    <w:rsid w:val="00AA10E6"/>
    <w:rsid w:val="00AA12CA"/>
    <w:rsid w:val="00AA13F8"/>
    <w:rsid w:val="00AA1D92"/>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42A"/>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528"/>
    <w:rsid w:val="00AF2D6C"/>
    <w:rsid w:val="00AF3332"/>
    <w:rsid w:val="00AF4A4F"/>
    <w:rsid w:val="00AF5B00"/>
    <w:rsid w:val="00AF5DE9"/>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969"/>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4CE"/>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094"/>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3D"/>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6D65"/>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B34"/>
    <w:rsid w:val="00BC7FD4"/>
    <w:rsid w:val="00BD0CB0"/>
    <w:rsid w:val="00BD0DA3"/>
    <w:rsid w:val="00BD0DFF"/>
    <w:rsid w:val="00BD1D36"/>
    <w:rsid w:val="00BD21BC"/>
    <w:rsid w:val="00BD221E"/>
    <w:rsid w:val="00BD29FA"/>
    <w:rsid w:val="00BD305E"/>
    <w:rsid w:val="00BD34DA"/>
    <w:rsid w:val="00BD398F"/>
    <w:rsid w:val="00BD3C15"/>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09A"/>
    <w:rsid w:val="00C14147"/>
    <w:rsid w:val="00C14440"/>
    <w:rsid w:val="00C14873"/>
    <w:rsid w:val="00C15336"/>
    <w:rsid w:val="00C1546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235"/>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039E"/>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C25"/>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029"/>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29B"/>
    <w:rsid w:val="00CF2379"/>
    <w:rsid w:val="00CF2463"/>
    <w:rsid w:val="00CF27F7"/>
    <w:rsid w:val="00CF2BF1"/>
    <w:rsid w:val="00CF2FFB"/>
    <w:rsid w:val="00CF3344"/>
    <w:rsid w:val="00CF39DD"/>
    <w:rsid w:val="00CF3F5C"/>
    <w:rsid w:val="00CF440E"/>
    <w:rsid w:val="00CF4B48"/>
    <w:rsid w:val="00CF4BBE"/>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639"/>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514"/>
    <w:rsid w:val="00DA77ED"/>
    <w:rsid w:val="00DA7919"/>
    <w:rsid w:val="00DA7CE9"/>
    <w:rsid w:val="00DB07A3"/>
    <w:rsid w:val="00DB09FA"/>
    <w:rsid w:val="00DB0AC8"/>
    <w:rsid w:val="00DB126B"/>
    <w:rsid w:val="00DB1567"/>
    <w:rsid w:val="00DB1652"/>
    <w:rsid w:val="00DB1C3C"/>
    <w:rsid w:val="00DB1D60"/>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B37"/>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20E"/>
    <w:rsid w:val="00DE333C"/>
    <w:rsid w:val="00DE35B2"/>
    <w:rsid w:val="00DE3B90"/>
    <w:rsid w:val="00DE3C71"/>
    <w:rsid w:val="00DE3F6C"/>
    <w:rsid w:val="00DE4006"/>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2D1"/>
    <w:rsid w:val="00E21612"/>
    <w:rsid w:val="00E21C34"/>
    <w:rsid w:val="00E22341"/>
    <w:rsid w:val="00E239B9"/>
    <w:rsid w:val="00E23A96"/>
    <w:rsid w:val="00E23B4F"/>
    <w:rsid w:val="00E23BC8"/>
    <w:rsid w:val="00E23C08"/>
    <w:rsid w:val="00E23C81"/>
    <w:rsid w:val="00E23D2A"/>
    <w:rsid w:val="00E23EBB"/>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846"/>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C66"/>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81"/>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5FC5"/>
    <w:rsid w:val="00E8679A"/>
    <w:rsid w:val="00E86871"/>
    <w:rsid w:val="00E901EE"/>
    <w:rsid w:val="00E90B9D"/>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792"/>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932"/>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0E65"/>
    <w:rsid w:val="00EF173E"/>
    <w:rsid w:val="00EF3085"/>
    <w:rsid w:val="00EF31E0"/>
    <w:rsid w:val="00EF32CF"/>
    <w:rsid w:val="00EF3424"/>
    <w:rsid w:val="00EF38C8"/>
    <w:rsid w:val="00EF3A54"/>
    <w:rsid w:val="00EF4187"/>
    <w:rsid w:val="00EF419F"/>
    <w:rsid w:val="00EF50A5"/>
    <w:rsid w:val="00EF50C7"/>
    <w:rsid w:val="00EF5C1E"/>
    <w:rsid w:val="00EF5F6A"/>
    <w:rsid w:val="00EF6299"/>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530"/>
    <w:rsid w:val="00F036D1"/>
    <w:rsid w:val="00F03E2F"/>
    <w:rsid w:val="00F04AB3"/>
    <w:rsid w:val="00F05288"/>
    <w:rsid w:val="00F05369"/>
    <w:rsid w:val="00F0552C"/>
    <w:rsid w:val="00F0553A"/>
    <w:rsid w:val="00F05584"/>
    <w:rsid w:val="00F055F3"/>
    <w:rsid w:val="00F05CCF"/>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919"/>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453"/>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49236"/>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77"/>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
    <w:basedOn w:val="a"/>
    <w:link w:val="Char2"/>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4"/>
    <w:rsid w:val="00CB07C7"/>
    <w:pPr>
      <w:tabs>
        <w:tab w:val="center" w:pos="4513"/>
        <w:tab w:val="right" w:pos="9026"/>
      </w:tabs>
      <w:snapToGrid w:val="0"/>
    </w:pPr>
  </w:style>
  <w:style w:type="character" w:customStyle="1" w:styleId="Char4">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2">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a"/>
    <w:rsid w:val="002F617F"/>
    <w:rPr>
      <w:rFonts w:eastAsia="굴림"/>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2645679">
      <w:bodyDiv w:val="1"/>
      <w:marLeft w:val="0"/>
      <w:marRight w:val="0"/>
      <w:marTop w:val="0"/>
      <w:marBottom w:val="0"/>
      <w:divBdr>
        <w:top w:val="none" w:sz="0" w:space="0" w:color="auto"/>
        <w:left w:val="none" w:sz="0" w:space="0" w:color="auto"/>
        <w:bottom w:val="none" w:sz="0" w:space="0" w:color="auto"/>
        <w:right w:val="none" w:sz="0" w:space="0" w:color="auto"/>
      </w:divBdr>
      <w:divsChild>
        <w:div w:id="1797285538">
          <w:marLeft w:val="965"/>
          <w:marRight w:val="0"/>
          <w:marTop w:val="60"/>
          <w:marBottom w:val="6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657608">
      <w:bodyDiv w:val="1"/>
      <w:marLeft w:val="0"/>
      <w:marRight w:val="0"/>
      <w:marTop w:val="0"/>
      <w:marBottom w:val="0"/>
      <w:divBdr>
        <w:top w:val="none" w:sz="0" w:space="0" w:color="auto"/>
        <w:left w:val="none" w:sz="0" w:space="0" w:color="auto"/>
        <w:bottom w:val="none" w:sz="0" w:space="0" w:color="auto"/>
        <w:right w:val="none" w:sz="0" w:space="0" w:color="auto"/>
      </w:divBdr>
      <w:divsChild>
        <w:div w:id="945651441">
          <w:marLeft w:val="965"/>
          <w:marRight w:val="0"/>
          <w:marTop w:val="60"/>
          <w:marBottom w:val="60"/>
          <w:divBdr>
            <w:top w:val="none" w:sz="0" w:space="0" w:color="auto"/>
            <w:left w:val="none" w:sz="0" w:space="0" w:color="auto"/>
            <w:bottom w:val="none" w:sz="0" w:space="0" w:color="auto"/>
            <w:right w:val="none" w:sz="0" w:space="0" w:color="auto"/>
          </w:divBdr>
        </w:div>
      </w:divsChild>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1370031">
      <w:bodyDiv w:val="1"/>
      <w:marLeft w:val="0"/>
      <w:marRight w:val="0"/>
      <w:marTop w:val="0"/>
      <w:marBottom w:val="0"/>
      <w:divBdr>
        <w:top w:val="none" w:sz="0" w:space="0" w:color="auto"/>
        <w:left w:val="none" w:sz="0" w:space="0" w:color="auto"/>
        <w:bottom w:val="none" w:sz="0" w:space="0" w:color="auto"/>
        <w:right w:val="none" w:sz="0" w:space="0" w:color="auto"/>
      </w:divBdr>
      <w:divsChild>
        <w:div w:id="101535286">
          <w:marLeft w:val="360"/>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62948789">
      <w:bodyDiv w:val="1"/>
      <w:marLeft w:val="0"/>
      <w:marRight w:val="0"/>
      <w:marTop w:val="0"/>
      <w:marBottom w:val="0"/>
      <w:divBdr>
        <w:top w:val="none" w:sz="0" w:space="0" w:color="auto"/>
        <w:left w:val="none" w:sz="0" w:space="0" w:color="auto"/>
        <w:bottom w:val="none" w:sz="0" w:space="0" w:color="auto"/>
        <w:right w:val="none" w:sz="0" w:space="0" w:color="auto"/>
      </w:divBdr>
      <w:divsChild>
        <w:div w:id="353730019">
          <w:marLeft w:val="835"/>
          <w:marRight w:val="0"/>
          <w:marTop w:val="60"/>
          <w:marBottom w:val="6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6310633">
      <w:bodyDiv w:val="1"/>
      <w:marLeft w:val="0"/>
      <w:marRight w:val="0"/>
      <w:marTop w:val="0"/>
      <w:marBottom w:val="0"/>
      <w:divBdr>
        <w:top w:val="none" w:sz="0" w:space="0" w:color="auto"/>
        <w:left w:val="none" w:sz="0" w:space="0" w:color="auto"/>
        <w:bottom w:val="none" w:sz="0" w:space="0" w:color="auto"/>
        <w:right w:val="none" w:sz="0" w:space="0" w:color="auto"/>
      </w:divBdr>
      <w:divsChild>
        <w:div w:id="1679650888">
          <w:marLeft w:val="835"/>
          <w:marRight w:val="0"/>
          <w:marTop w:val="60"/>
          <w:marBottom w:val="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4258861">
      <w:bodyDiv w:val="1"/>
      <w:marLeft w:val="0"/>
      <w:marRight w:val="0"/>
      <w:marTop w:val="0"/>
      <w:marBottom w:val="0"/>
      <w:divBdr>
        <w:top w:val="none" w:sz="0" w:space="0" w:color="auto"/>
        <w:left w:val="none" w:sz="0" w:space="0" w:color="auto"/>
        <w:bottom w:val="none" w:sz="0" w:space="0" w:color="auto"/>
        <w:right w:val="none" w:sz="0" w:space="0" w:color="auto"/>
      </w:divBdr>
      <w:divsChild>
        <w:div w:id="528840199">
          <w:marLeft w:val="835"/>
          <w:marRight w:val="0"/>
          <w:marTop w:val="60"/>
          <w:marBottom w:val="60"/>
          <w:divBdr>
            <w:top w:val="none" w:sz="0" w:space="0" w:color="auto"/>
            <w:left w:val="none" w:sz="0" w:space="0" w:color="auto"/>
            <w:bottom w:val="none" w:sz="0" w:space="0" w:color="auto"/>
            <w:right w:val="none" w:sz="0" w:space="0" w:color="auto"/>
          </w:divBdr>
        </w:div>
      </w:divsChild>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68777586">
      <w:bodyDiv w:val="1"/>
      <w:marLeft w:val="0"/>
      <w:marRight w:val="0"/>
      <w:marTop w:val="0"/>
      <w:marBottom w:val="0"/>
      <w:divBdr>
        <w:top w:val="none" w:sz="0" w:space="0" w:color="auto"/>
        <w:left w:val="none" w:sz="0" w:space="0" w:color="auto"/>
        <w:bottom w:val="none" w:sz="0" w:space="0" w:color="auto"/>
        <w:right w:val="none" w:sz="0" w:space="0" w:color="auto"/>
      </w:divBdr>
      <w:divsChild>
        <w:div w:id="1519654678">
          <w:marLeft w:val="965"/>
          <w:marRight w:val="0"/>
          <w:marTop w:val="60"/>
          <w:marBottom w:val="60"/>
          <w:divBdr>
            <w:top w:val="none" w:sz="0" w:space="0" w:color="auto"/>
            <w:left w:val="none" w:sz="0" w:space="0" w:color="auto"/>
            <w:bottom w:val="none" w:sz="0" w:space="0" w:color="auto"/>
            <w:right w:val="none" w:sz="0" w:space="0" w:color="auto"/>
          </w:divBdr>
        </w:div>
      </w:divsChild>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29719078">
      <w:bodyDiv w:val="1"/>
      <w:marLeft w:val="0"/>
      <w:marRight w:val="0"/>
      <w:marTop w:val="0"/>
      <w:marBottom w:val="0"/>
      <w:divBdr>
        <w:top w:val="none" w:sz="0" w:space="0" w:color="auto"/>
        <w:left w:val="none" w:sz="0" w:space="0" w:color="auto"/>
        <w:bottom w:val="none" w:sz="0" w:space="0" w:color="auto"/>
        <w:right w:val="none" w:sz="0" w:space="0" w:color="auto"/>
      </w:divBdr>
      <w:divsChild>
        <w:div w:id="2057535325">
          <w:marLeft w:val="590"/>
          <w:marRight w:val="0"/>
          <w:marTop w:val="60"/>
          <w:marBottom w:val="60"/>
          <w:divBdr>
            <w:top w:val="none" w:sz="0" w:space="0" w:color="auto"/>
            <w:left w:val="none" w:sz="0" w:space="0" w:color="auto"/>
            <w:bottom w:val="none" w:sz="0" w:space="0" w:color="auto"/>
            <w:right w:val="none" w:sz="0" w:space="0" w:color="auto"/>
          </w:divBdr>
        </w:div>
      </w:divsChild>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6444016">
      <w:bodyDiv w:val="1"/>
      <w:marLeft w:val="0"/>
      <w:marRight w:val="0"/>
      <w:marTop w:val="0"/>
      <w:marBottom w:val="0"/>
      <w:divBdr>
        <w:top w:val="none" w:sz="0" w:space="0" w:color="auto"/>
        <w:left w:val="none" w:sz="0" w:space="0" w:color="auto"/>
        <w:bottom w:val="none" w:sz="0" w:space="0" w:color="auto"/>
        <w:right w:val="none" w:sz="0" w:space="0" w:color="auto"/>
      </w:divBdr>
      <w:divsChild>
        <w:div w:id="2032486880">
          <w:marLeft w:val="835"/>
          <w:marRight w:val="0"/>
          <w:marTop w:val="60"/>
          <w:marBottom w:val="6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36526005">
      <w:bodyDiv w:val="1"/>
      <w:marLeft w:val="0"/>
      <w:marRight w:val="0"/>
      <w:marTop w:val="0"/>
      <w:marBottom w:val="0"/>
      <w:divBdr>
        <w:top w:val="none" w:sz="0" w:space="0" w:color="auto"/>
        <w:left w:val="none" w:sz="0" w:space="0" w:color="auto"/>
        <w:bottom w:val="none" w:sz="0" w:space="0" w:color="auto"/>
        <w:right w:val="none" w:sz="0" w:space="0" w:color="auto"/>
      </w:divBdr>
      <w:divsChild>
        <w:div w:id="23098320">
          <w:marLeft w:val="835"/>
          <w:marRight w:val="0"/>
          <w:marTop w:val="60"/>
          <w:marBottom w:val="60"/>
          <w:divBdr>
            <w:top w:val="none" w:sz="0" w:space="0" w:color="auto"/>
            <w:left w:val="none" w:sz="0" w:space="0" w:color="auto"/>
            <w:bottom w:val="none" w:sz="0" w:space="0" w:color="auto"/>
            <w:right w:val="none" w:sz="0" w:space="0" w:color="auto"/>
          </w:divBdr>
        </w:div>
        <w:div w:id="1480152178">
          <w:marLeft w:val="835"/>
          <w:marRight w:val="0"/>
          <w:marTop w:val="60"/>
          <w:marBottom w:val="6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7435818">
      <w:bodyDiv w:val="1"/>
      <w:marLeft w:val="0"/>
      <w:marRight w:val="0"/>
      <w:marTop w:val="0"/>
      <w:marBottom w:val="0"/>
      <w:divBdr>
        <w:top w:val="none" w:sz="0" w:space="0" w:color="auto"/>
        <w:left w:val="none" w:sz="0" w:space="0" w:color="auto"/>
        <w:bottom w:val="none" w:sz="0" w:space="0" w:color="auto"/>
        <w:right w:val="none" w:sz="0" w:space="0" w:color="auto"/>
      </w:divBdr>
      <w:divsChild>
        <w:div w:id="1552839063">
          <w:marLeft w:val="835"/>
          <w:marRight w:val="0"/>
          <w:marTop w:val="60"/>
          <w:marBottom w:val="60"/>
          <w:divBdr>
            <w:top w:val="none" w:sz="0" w:space="0" w:color="auto"/>
            <w:left w:val="none" w:sz="0" w:space="0" w:color="auto"/>
            <w:bottom w:val="none" w:sz="0" w:space="0" w:color="auto"/>
            <w:right w:val="none" w:sz="0" w:space="0" w:color="auto"/>
          </w:divBdr>
        </w:div>
      </w:divsChild>
    </w:div>
    <w:div w:id="1329403182">
      <w:bodyDiv w:val="1"/>
      <w:marLeft w:val="0"/>
      <w:marRight w:val="0"/>
      <w:marTop w:val="0"/>
      <w:marBottom w:val="0"/>
      <w:divBdr>
        <w:top w:val="none" w:sz="0" w:space="0" w:color="auto"/>
        <w:left w:val="none" w:sz="0" w:space="0" w:color="auto"/>
        <w:bottom w:val="none" w:sz="0" w:space="0" w:color="auto"/>
        <w:right w:val="none" w:sz="0" w:space="0" w:color="auto"/>
      </w:divBdr>
      <w:divsChild>
        <w:div w:id="458645316">
          <w:marLeft w:val="835"/>
          <w:marRight w:val="0"/>
          <w:marTop w:val="60"/>
          <w:marBottom w:val="6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4546448">
      <w:bodyDiv w:val="1"/>
      <w:marLeft w:val="0"/>
      <w:marRight w:val="0"/>
      <w:marTop w:val="0"/>
      <w:marBottom w:val="0"/>
      <w:divBdr>
        <w:top w:val="none" w:sz="0" w:space="0" w:color="auto"/>
        <w:left w:val="none" w:sz="0" w:space="0" w:color="auto"/>
        <w:bottom w:val="none" w:sz="0" w:space="0" w:color="auto"/>
        <w:right w:val="none" w:sz="0" w:space="0" w:color="auto"/>
      </w:divBdr>
      <w:divsChild>
        <w:div w:id="1928995382">
          <w:marLeft w:val="965"/>
          <w:marRight w:val="0"/>
          <w:marTop w:val="60"/>
          <w:marBottom w:val="60"/>
          <w:divBdr>
            <w:top w:val="none" w:sz="0" w:space="0" w:color="auto"/>
            <w:left w:val="none" w:sz="0" w:space="0" w:color="auto"/>
            <w:bottom w:val="none" w:sz="0" w:space="0" w:color="auto"/>
            <w:right w:val="none" w:sz="0" w:space="0" w:color="auto"/>
          </w:divBdr>
        </w:div>
        <w:div w:id="580871714">
          <w:marLeft w:val="965"/>
          <w:marRight w:val="0"/>
          <w:marTop w:val="60"/>
          <w:marBottom w:val="60"/>
          <w:divBdr>
            <w:top w:val="none" w:sz="0" w:space="0" w:color="auto"/>
            <w:left w:val="none" w:sz="0" w:space="0" w:color="auto"/>
            <w:bottom w:val="none" w:sz="0" w:space="0" w:color="auto"/>
            <w:right w:val="none" w:sz="0" w:space="0" w:color="auto"/>
          </w:divBdr>
        </w:div>
      </w:divsChild>
    </w:div>
    <w:div w:id="1396509183">
      <w:bodyDiv w:val="1"/>
      <w:marLeft w:val="0"/>
      <w:marRight w:val="0"/>
      <w:marTop w:val="0"/>
      <w:marBottom w:val="0"/>
      <w:divBdr>
        <w:top w:val="none" w:sz="0" w:space="0" w:color="auto"/>
        <w:left w:val="none" w:sz="0" w:space="0" w:color="auto"/>
        <w:bottom w:val="none" w:sz="0" w:space="0" w:color="auto"/>
        <w:right w:val="none" w:sz="0" w:space="0" w:color="auto"/>
      </w:divBdr>
      <w:divsChild>
        <w:div w:id="69158982">
          <w:marLeft w:val="360"/>
          <w:marRight w:val="0"/>
          <w:marTop w:val="60"/>
          <w:marBottom w:val="60"/>
          <w:divBdr>
            <w:top w:val="none" w:sz="0" w:space="0" w:color="auto"/>
            <w:left w:val="none" w:sz="0" w:space="0" w:color="auto"/>
            <w:bottom w:val="none" w:sz="0" w:space="0" w:color="auto"/>
            <w:right w:val="none" w:sz="0" w:space="0" w:color="auto"/>
          </w:divBdr>
        </w:div>
      </w:divsChild>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83810869">
      <w:bodyDiv w:val="1"/>
      <w:marLeft w:val="0"/>
      <w:marRight w:val="0"/>
      <w:marTop w:val="0"/>
      <w:marBottom w:val="0"/>
      <w:divBdr>
        <w:top w:val="none" w:sz="0" w:space="0" w:color="auto"/>
        <w:left w:val="none" w:sz="0" w:space="0" w:color="auto"/>
        <w:bottom w:val="none" w:sz="0" w:space="0" w:color="auto"/>
        <w:right w:val="none" w:sz="0" w:space="0" w:color="auto"/>
      </w:divBdr>
      <w:divsChild>
        <w:div w:id="1912695871">
          <w:marLeft w:val="835"/>
          <w:marRight w:val="0"/>
          <w:marTop w:val="60"/>
          <w:marBottom w:val="60"/>
          <w:divBdr>
            <w:top w:val="none" w:sz="0" w:space="0" w:color="auto"/>
            <w:left w:val="none" w:sz="0" w:space="0" w:color="auto"/>
            <w:bottom w:val="none" w:sz="0" w:space="0" w:color="auto"/>
            <w:right w:val="none" w:sz="0" w:space="0" w:color="auto"/>
          </w:divBdr>
        </w:div>
        <w:div w:id="136730802">
          <w:marLeft w:val="835"/>
          <w:marRight w:val="0"/>
          <w:marTop w:val="60"/>
          <w:marBottom w:val="6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7059711">
      <w:bodyDiv w:val="1"/>
      <w:marLeft w:val="0"/>
      <w:marRight w:val="0"/>
      <w:marTop w:val="0"/>
      <w:marBottom w:val="0"/>
      <w:divBdr>
        <w:top w:val="none" w:sz="0" w:space="0" w:color="auto"/>
        <w:left w:val="none" w:sz="0" w:space="0" w:color="auto"/>
        <w:bottom w:val="none" w:sz="0" w:space="0" w:color="auto"/>
        <w:right w:val="none" w:sz="0" w:space="0" w:color="auto"/>
      </w:divBdr>
      <w:divsChild>
        <w:div w:id="453641999">
          <w:marLeft w:val="360"/>
          <w:marRight w:val="0"/>
          <w:marTop w:val="60"/>
          <w:marBottom w:val="60"/>
          <w:divBdr>
            <w:top w:val="none" w:sz="0" w:space="0" w:color="auto"/>
            <w:left w:val="none" w:sz="0" w:space="0" w:color="auto"/>
            <w:bottom w:val="none" w:sz="0" w:space="0" w:color="auto"/>
            <w:right w:val="none" w:sz="0" w:space="0" w:color="auto"/>
          </w:divBdr>
        </w:div>
      </w:divsChild>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89665072">
      <w:bodyDiv w:val="1"/>
      <w:marLeft w:val="0"/>
      <w:marRight w:val="0"/>
      <w:marTop w:val="0"/>
      <w:marBottom w:val="0"/>
      <w:divBdr>
        <w:top w:val="none" w:sz="0" w:space="0" w:color="auto"/>
        <w:left w:val="none" w:sz="0" w:space="0" w:color="auto"/>
        <w:bottom w:val="none" w:sz="0" w:space="0" w:color="auto"/>
        <w:right w:val="none" w:sz="0" w:space="0" w:color="auto"/>
      </w:divBdr>
      <w:divsChild>
        <w:div w:id="1421100313">
          <w:marLeft w:val="590"/>
          <w:marRight w:val="0"/>
          <w:marTop w:val="60"/>
          <w:marBottom w:val="6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21593">
      <w:bodyDiv w:val="1"/>
      <w:marLeft w:val="0"/>
      <w:marRight w:val="0"/>
      <w:marTop w:val="0"/>
      <w:marBottom w:val="0"/>
      <w:divBdr>
        <w:top w:val="none" w:sz="0" w:space="0" w:color="auto"/>
        <w:left w:val="none" w:sz="0" w:space="0" w:color="auto"/>
        <w:bottom w:val="none" w:sz="0" w:space="0" w:color="auto"/>
        <w:right w:val="none" w:sz="0" w:space="0" w:color="auto"/>
      </w:divBdr>
      <w:divsChild>
        <w:div w:id="1180505813">
          <w:marLeft w:val="360"/>
          <w:marRight w:val="0"/>
          <w:marTop w:val="60"/>
          <w:marBottom w:val="60"/>
          <w:divBdr>
            <w:top w:val="none" w:sz="0" w:space="0" w:color="auto"/>
            <w:left w:val="none" w:sz="0" w:space="0" w:color="auto"/>
            <w:bottom w:val="none" w:sz="0" w:space="0" w:color="auto"/>
            <w:right w:val="none" w:sz="0" w:space="0" w:color="auto"/>
          </w:divBdr>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2031376">
      <w:bodyDiv w:val="1"/>
      <w:marLeft w:val="0"/>
      <w:marRight w:val="0"/>
      <w:marTop w:val="0"/>
      <w:marBottom w:val="0"/>
      <w:divBdr>
        <w:top w:val="none" w:sz="0" w:space="0" w:color="auto"/>
        <w:left w:val="none" w:sz="0" w:space="0" w:color="auto"/>
        <w:bottom w:val="none" w:sz="0" w:space="0" w:color="auto"/>
        <w:right w:val="none" w:sz="0" w:space="0" w:color="auto"/>
      </w:divBdr>
      <w:divsChild>
        <w:div w:id="893542631">
          <w:marLeft w:val="965"/>
          <w:marRight w:val="0"/>
          <w:marTop w:val="60"/>
          <w:marBottom w:val="60"/>
          <w:divBdr>
            <w:top w:val="none" w:sz="0" w:space="0" w:color="auto"/>
            <w:left w:val="none" w:sz="0" w:space="0" w:color="auto"/>
            <w:bottom w:val="none" w:sz="0" w:space="0" w:color="auto"/>
            <w:right w:val="none" w:sz="0" w:space="0" w:color="auto"/>
          </w:divBdr>
        </w:div>
        <w:div w:id="1080905036">
          <w:marLeft w:val="965"/>
          <w:marRight w:val="0"/>
          <w:marTop w:val="60"/>
          <w:marBottom w:val="60"/>
          <w:divBdr>
            <w:top w:val="none" w:sz="0" w:space="0" w:color="auto"/>
            <w:left w:val="none" w:sz="0" w:space="0" w:color="auto"/>
            <w:bottom w:val="none" w:sz="0" w:space="0" w:color="auto"/>
            <w:right w:val="none" w:sz="0" w:space="0" w:color="auto"/>
          </w:divBdr>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01078162">
      <w:bodyDiv w:val="1"/>
      <w:marLeft w:val="0"/>
      <w:marRight w:val="0"/>
      <w:marTop w:val="0"/>
      <w:marBottom w:val="0"/>
      <w:divBdr>
        <w:top w:val="none" w:sz="0" w:space="0" w:color="auto"/>
        <w:left w:val="none" w:sz="0" w:space="0" w:color="auto"/>
        <w:bottom w:val="none" w:sz="0" w:space="0" w:color="auto"/>
        <w:right w:val="none" w:sz="0" w:space="0" w:color="auto"/>
      </w:divBdr>
      <w:divsChild>
        <w:div w:id="723212395">
          <w:marLeft w:val="590"/>
          <w:marRight w:val="0"/>
          <w:marTop w:val="60"/>
          <w:marBottom w:val="60"/>
          <w:divBdr>
            <w:top w:val="none" w:sz="0" w:space="0" w:color="auto"/>
            <w:left w:val="none" w:sz="0" w:space="0" w:color="auto"/>
            <w:bottom w:val="none" w:sz="0" w:space="0" w:color="auto"/>
            <w:right w:val="none" w:sz="0" w:space="0" w:color="auto"/>
          </w:divBdr>
        </w:div>
        <w:div w:id="460080482">
          <w:marLeft w:val="590"/>
          <w:marRight w:val="0"/>
          <w:marTop w:val="60"/>
          <w:marBottom w:val="60"/>
          <w:divBdr>
            <w:top w:val="none" w:sz="0" w:space="0" w:color="auto"/>
            <w:left w:val="none" w:sz="0" w:space="0" w:color="auto"/>
            <w:bottom w:val="none" w:sz="0" w:space="0" w:color="auto"/>
            <w:right w:val="none" w:sz="0" w:space="0" w:color="auto"/>
          </w:divBdr>
        </w:div>
        <w:div w:id="1969815728">
          <w:marLeft w:val="590"/>
          <w:marRight w:val="0"/>
          <w:marTop w:val="60"/>
          <w:marBottom w:val="60"/>
          <w:divBdr>
            <w:top w:val="none" w:sz="0" w:space="0" w:color="auto"/>
            <w:left w:val="none" w:sz="0" w:space="0" w:color="auto"/>
            <w:bottom w:val="none" w:sz="0" w:space="0" w:color="auto"/>
            <w:right w:val="none" w:sz="0" w:space="0" w:color="auto"/>
          </w:divBdr>
        </w:div>
        <w:div w:id="1957368446">
          <w:marLeft w:val="590"/>
          <w:marRight w:val="0"/>
          <w:marTop w:val="60"/>
          <w:marBottom w:val="60"/>
          <w:divBdr>
            <w:top w:val="none" w:sz="0" w:space="0" w:color="auto"/>
            <w:left w:val="none" w:sz="0" w:space="0" w:color="auto"/>
            <w:bottom w:val="none" w:sz="0" w:space="0" w:color="auto"/>
            <w:right w:val="none" w:sz="0" w:space="0" w:color="auto"/>
          </w:divBdr>
        </w:div>
        <w:div w:id="1243683134">
          <w:marLeft w:val="590"/>
          <w:marRight w:val="0"/>
          <w:marTop w:val="60"/>
          <w:marBottom w:val="6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2709567">
      <w:bodyDiv w:val="1"/>
      <w:marLeft w:val="0"/>
      <w:marRight w:val="0"/>
      <w:marTop w:val="0"/>
      <w:marBottom w:val="0"/>
      <w:divBdr>
        <w:top w:val="none" w:sz="0" w:space="0" w:color="auto"/>
        <w:left w:val="none" w:sz="0" w:space="0" w:color="auto"/>
        <w:bottom w:val="none" w:sz="0" w:space="0" w:color="auto"/>
        <w:right w:val="none" w:sz="0" w:space="0" w:color="auto"/>
      </w:divBdr>
      <w:divsChild>
        <w:div w:id="1354384769">
          <w:marLeft w:val="965"/>
          <w:marRight w:val="0"/>
          <w:marTop w:val="60"/>
          <w:marBottom w:val="60"/>
          <w:divBdr>
            <w:top w:val="none" w:sz="0" w:space="0" w:color="auto"/>
            <w:left w:val="none" w:sz="0" w:space="0" w:color="auto"/>
            <w:bottom w:val="none" w:sz="0" w:space="0" w:color="auto"/>
            <w:right w:val="none" w:sz="0" w:space="0" w:color="auto"/>
          </w:divBdr>
        </w:div>
      </w:divsChild>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04B34-D010-42E0-9E83-5F87D2EA9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2360</Words>
  <Characters>13457</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cp:lastModifiedBy>
  <cp:revision>12</cp:revision>
  <cp:lastPrinted>2016-02-01T04:11:00Z</cp:lastPrinted>
  <dcterms:created xsi:type="dcterms:W3CDTF">2023-04-07T02:37:00Z</dcterms:created>
  <dcterms:modified xsi:type="dcterms:W3CDTF">2023-05-12T02:29:00Z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